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61C2" w:rsidRPr="00834D8A" w:rsidRDefault="00927002" w:rsidP="00CA61C2">
      <w:pPr>
        <w:pStyle w:val="Heading1"/>
        <w:pBdr>
          <w:bottom w:val="single" w:sz="12" w:space="1" w:color="auto"/>
        </w:pBdr>
        <w:jc w:val="left"/>
        <w:rPr>
          <w:sz w:val="22"/>
          <w:szCs w:val="22"/>
        </w:rPr>
      </w:pPr>
      <w:bookmarkStart w:id="0" w:name="_GoBack"/>
      <w:bookmarkEnd w:id="0"/>
      <w:r w:rsidRPr="00834D8A">
        <w:rPr>
          <w:sz w:val="22"/>
          <w:szCs w:val="22"/>
        </w:rPr>
        <w:t>AUDIT OB</w:t>
      </w:r>
      <w:r w:rsidR="00CA61C2" w:rsidRPr="00834D8A">
        <w:rPr>
          <w:sz w:val="22"/>
          <w:szCs w:val="22"/>
        </w:rPr>
        <w:t>SERVATIONS</w:t>
      </w:r>
      <w:r w:rsidRPr="00834D8A">
        <w:rPr>
          <w:sz w:val="22"/>
          <w:szCs w:val="22"/>
        </w:rPr>
        <w:t xml:space="preserve"> AND RECOMMENDATIONS</w:t>
      </w:r>
    </w:p>
    <w:p w:rsidR="00CE2C9C" w:rsidRPr="002B2CE1" w:rsidRDefault="00CE2C9C" w:rsidP="00CE2C9C">
      <w:pPr>
        <w:rPr>
          <w:rFonts w:ascii="Arial" w:hAnsi="Arial" w:cs="Arial"/>
          <w:sz w:val="22"/>
          <w:szCs w:val="22"/>
        </w:rPr>
      </w:pPr>
    </w:p>
    <w:p w:rsidR="0012093D" w:rsidRDefault="0012093D" w:rsidP="00CE2C9C">
      <w:pPr>
        <w:rPr>
          <w:rFonts w:ascii="Arial" w:hAnsi="Arial" w:cs="Arial"/>
          <w:sz w:val="22"/>
          <w:szCs w:val="22"/>
        </w:rPr>
      </w:pPr>
    </w:p>
    <w:p w:rsidR="00834D8A" w:rsidRPr="002B2CE1" w:rsidRDefault="00834D8A" w:rsidP="00834D8A">
      <w:pPr>
        <w:numPr>
          <w:ilvl w:val="0"/>
          <w:numId w:val="10"/>
        </w:numPr>
        <w:rPr>
          <w:rFonts w:ascii="Arial" w:hAnsi="Arial" w:cs="Arial"/>
          <w:b/>
          <w:sz w:val="22"/>
          <w:szCs w:val="22"/>
        </w:rPr>
      </w:pPr>
      <w:r>
        <w:rPr>
          <w:rFonts w:ascii="Arial" w:hAnsi="Arial" w:cs="Arial"/>
          <w:b/>
          <w:sz w:val="22"/>
          <w:szCs w:val="22"/>
        </w:rPr>
        <w:t xml:space="preserve">The </w:t>
      </w:r>
      <w:r w:rsidRPr="002B2CE1">
        <w:rPr>
          <w:rFonts w:ascii="Arial" w:hAnsi="Arial" w:cs="Arial"/>
          <w:b/>
          <w:sz w:val="22"/>
          <w:szCs w:val="22"/>
        </w:rPr>
        <w:t>allowance for inventory obsolescence of unserviceable aircraft inventory is</w:t>
      </w:r>
      <w:r>
        <w:rPr>
          <w:rFonts w:ascii="Arial" w:hAnsi="Arial" w:cs="Arial"/>
          <w:b/>
          <w:sz w:val="22"/>
          <w:szCs w:val="22"/>
        </w:rPr>
        <w:t xml:space="preserve"> understated by P42.258 million.</w:t>
      </w:r>
    </w:p>
    <w:p w:rsidR="00834D8A" w:rsidRDefault="00834D8A" w:rsidP="00834D8A">
      <w:pPr>
        <w:ind w:left="360"/>
        <w:rPr>
          <w:rFonts w:ascii="Arial" w:hAnsi="Arial" w:cs="Arial"/>
          <w:sz w:val="22"/>
          <w:szCs w:val="22"/>
        </w:rPr>
      </w:pPr>
    </w:p>
    <w:p w:rsidR="00834D8A" w:rsidRPr="002B2CE1" w:rsidRDefault="00834D8A" w:rsidP="00834D8A">
      <w:pPr>
        <w:ind w:left="360"/>
        <w:rPr>
          <w:rFonts w:ascii="Arial" w:hAnsi="Arial" w:cs="Arial"/>
          <w:sz w:val="22"/>
          <w:szCs w:val="22"/>
        </w:rPr>
      </w:pPr>
      <w:r w:rsidRPr="002B2CE1">
        <w:rPr>
          <w:rFonts w:ascii="Arial" w:hAnsi="Arial" w:cs="Arial"/>
          <w:sz w:val="22"/>
          <w:szCs w:val="22"/>
        </w:rPr>
        <w:t>International Accounting Standard (IAS) No. 2 requires that inventory items be measured at lower of cost or net realizable value (NRV).  This necessitates that a periodic assessment of the items be conducted to determine their commercial value, and to provide an allowance for their obsolescence</w:t>
      </w:r>
      <w:r>
        <w:rPr>
          <w:rFonts w:ascii="Arial" w:hAnsi="Arial" w:cs="Arial"/>
          <w:sz w:val="22"/>
          <w:szCs w:val="22"/>
        </w:rPr>
        <w:t>,</w:t>
      </w:r>
      <w:r w:rsidRPr="002B2CE1">
        <w:rPr>
          <w:rFonts w:ascii="Arial" w:hAnsi="Arial" w:cs="Arial"/>
          <w:sz w:val="22"/>
          <w:szCs w:val="22"/>
        </w:rPr>
        <w:t xml:space="preserve"> if warranted.  </w:t>
      </w:r>
    </w:p>
    <w:p w:rsidR="00834D8A" w:rsidRPr="002B2CE1" w:rsidRDefault="00834D8A" w:rsidP="00834D8A">
      <w:pPr>
        <w:rPr>
          <w:rFonts w:ascii="Arial" w:hAnsi="Arial" w:cs="Arial"/>
          <w:b/>
          <w:sz w:val="22"/>
          <w:szCs w:val="22"/>
        </w:rPr>
      </w:pPr>
    </w:p>
    <w:p w:rsidR="00834D8A" w:rsidRPr="002B2CE1" w:rsidRDefault="00834D8A" w:rsidP="00834D8A">
      <w:pPr>
        <w:ind w:left="360"/>
        <w:rPr>
          <w:rFonts w:ascii="Arial" w:hAnsi="Arial" w:cs="Arial"/>
          <w:sz w:val="22"/>
          <w:szCs w:val="22"/>
        </w:rPr>
      </w:pPr>
      <w:r w:rsidRPr="002B2CE1">
        <w:rPr>
          <w:rFonts w:ascii="Arial" w:hAnsi="Arial" w:cs="Arial"/>
          <w:sz w:val="22"/>
          <w:szCs w:val="22"/>
        </w:rPr>
        <w:t xml:space="preserve">The breakdown of </w:t>
      </w:r>
      <w:r>
        <w:rPr>
          <w:rFonts w:ascii="Arial" w:hAnsi="Arial" w:cs="Arial"/>
          <w:sz w:val="22"/>
          <w:szCs w:val="22"/>
        </w:rPr>
        <w:t xml:space="preserve">the </w:t>
      </w:r>
      <w:r w:rsidRPr="002B2CE1">
        <w:rPr>
          <w:rFonts w:ascii="Arial" w:hAnsi="Arial" w:cs="Arial"/>
          <w:sz w:val="22"/>
          <w:szCs w:val="22"/>
        </w:rPr>
        <w:t>aircraft inventory account as of December 31, 201</w:t>
      </w:r>
      <w:r>
        <w:rPr>
          <w:rFonts w:ascii="Arial" w:hAnsi="Arial" w:cs="Arial"/>
          <w:sz w:val="22"/>
          <w:szCs w:val="22"/>
        </w:rPr>
        <w:t>4</w:t>
      </w:r>
      <w:r w:rsidRPr="002B2CE1">
        <w:rPr>
          <w:rFonts w:ascii="Arial" w:hAnsi="Arial" w:cs="Arial"/>
          <w:sz w:val="22"/>
          <w:szCs w:val="22"/>
        </w:rPr>
        <w:t xml:space="preserve"> per reclassification made is as follows:</w:t>
      </w:r>
    </w:p>
    <w:p w:rsidR="00834D8A" w:rsidRPr="002B2CE1" w:rsidRDefault="00834D8A" w:rsidP="00834D8A">
      <w:pPr>
        <w:rPr>
          <w:rFonts w:ascii="Arial" w:hAnsi="Arial" w:cs="Arial"/>
          <w:sz w:val="22"/>
          <w:szCs w:val="22"/>
        </w:rPr>
      </w:pPr>
      <w:r>
        <w:rPr>
          <w:rFonts w:ascii="Arial" w:hAnsi="Arial" w:cs="Arial"/>
          <w:sz w:val="22"/>
          <w:szCs w:val="22"/>
        </w:rPr>
        <w:t xml:space="preserve">      </w:t>
      </w:r>
    </w:p>
    <w:tbl>
      <w:tblPr>
        <w:tblW w:w="0" w:type="auto"/>
        <w:jc w:val="center"/>
        <w:tblLook w:val="04A0" w:firstRow="1" w:lastRow="0" w:firstColumn="1" w:lastColumn="0" w:noHBand="0" w:noVBand="1"/>
      </w:tblPr>
      <w:tblGrid>
        <w:gridCol w:w="6581"/>
        <w:gridCol w:w="1796"/>
      </w:tblGrid>
      <w:tr w:rsidR="00834D8A" w:rsidRPr="002B2CE1" w:rsidTr="009B40BD">
        <w:trPr>
          <w:jc w:val="center"/>
        </w:trPr>
        <w:tc>
          <w:tcPr>
            <w:tcW w:w="6581" w:type="dxa"/>
            <w:tcBorders>
              <w:bottom w:val="single" w:sz="4" w:space="0" w:color="auto"/>
            </w:tcBorders>
          </w:tcPr>
          <w:p w:rsidR="00834D8A" w:rsidRPr="002B2CE1" w:rsidRDefault="00834D8A" w:rsidP="009B40BD">
            <w:pPr>
              <w:jc w:val="center"/>
              <w:rPr>
                <w:rFonts w:ascii="Arial" w:hAnsi="Arial" w:cs="Arial"/>
                <w:b/>
                <w:sz w:val="22"/>
                <w:szCs w:val="22"/>
              </w:rPr>
            </w:pPr>
            <w:r w:rsidRPr="002B2CE1">
              <w:rPr>
                <w:rFonts w:ascii="Arial" w:hAnsi="Arial" w:cs="Arial"/>
                <w:b/>
                <w:sz w:val="22"/>
                <w:szCs w:val="22"/>
              </w:rPr>
              <w:t>Particulars</w:t>
            </w:r>
          </w:p>
        </w:tc>
        <w:tc>
          <w:tcPr>
            <w:tcW w:w="1796" w:type="dxa"/>
            <w:tcBorders>
              <w:bottom w:val="single" w:sz="4" w:space="0" w:color="auto"/>
            </w:tcBorders>
          </w:tcPr>
          <w:p w:rsidR="00834D8A" w:rsidRPr="002B2CE1" w:rsidRDefault="00834D8A" w:rsidP="009B40BD">
            <w:pPr>
              <w:rPr>
                <w:rFonts w:ascii="Arial" w:hAnsi="Arial" w:cs="Arial"/>
                <w:b/>
                <w:sz w:val="22"/>
                <w:szCs w:val="22"/>
              </w:rPr>
            </w:pPr>
            <w:r w:rsidRPr="002B2CE1">
              <w:rPr>
                <w:rFonts w:ascii="Arial" w:hAnsi="Arial" w:cs="Arial"/>
                <w:b/>
                <w:sz w:val="22"/>
                <w:szCs w:val="22"/>
              </w:rPr>
              <w:t xml:space="preserve">         Amount                 </w:t>
            </w:r>
          </w:p>
        </w:tc>
      </w:tr>
      <w:tr w:rsidR="00834D8A" w:rsidRPr="002B2CE1" w:rsidTr="009B40BD">
        <w:trPr>
          <w:jc w:val="center"/>
        </w:trPr>
        <w:tc>
          <w:tcPr>
            <w:tcW w:w="6581" w:type="dxa"/>
            <w:tcBorders>
              <w:top w:val="single" w:sz="4" w:space="0" w:color="auto"/>
            </w:tcBorders>
          </w:tcPr>
          <w:p w:rsidR="00834D8A" w:rsidRPr="002B2CE1" w:rsidRDefault="00834D8A" w:rsidP="009B40BD">
            <w:pPr>
              <w:rPr>
                <w:rFonts w:ascii="Arial" w:hAnsi="Arial" w:cs="Arial"/>
                <w:sz w:val="22"/>
                <w:szCs w:val="22"/>
              </w:rPr>
            </w:pPr>
          </w:p>
        </w:tc>
        <w:tc>
          <w:tcPr>
            <w:tcW w:w="1796" w:type="dxa"/>
            <w:tcBorders>
              <w:top w:val="single" w:sz="4" w:space="0" w:color="auto"/>
            </w:tcBorders>
          </w:tcPr>
          <w:p w:rsidR="00834D8A" w:rsidRPr="002B2CE1" w:rsidRDefault="00834D8A" w:rsidP="009B40BD">
            <w:pPr>
              <w:tabs>
                <w:tab w:val="left" w:pos="302"/>
              </w:tabs>
              <w:ind w:right="-108"/>
              <w:rPr>
                <w:rFonts w:ascii="Arial" w:hAnsi="Arial" w:cs="Arial"/>
                <w:sz w:val="22"/>
                <w:szCs w:val="22"/>
              </w:rPr>
            </w:pPr>
          </w:p>
        </w:tc>
      </w:tr>
      <w:tr w:rsidR="00834D8A" w:rsidRPr="002B2CE1" w:rsidTr="009B40BD">
        <w:trPr>
          <w:jc w:val="center"/>
        </w:trPr>
        <w:tc>
          <w:tcPr>
            <w:tcW w:w="6581" w:type="dxa"/>
          </w:tcPr>
          <w:p w:rsidR="00834D8A" w:rsidRPr="002B2CE1" w:rsidRDefault="00834D8A" w:rsidP="009B40BD">
            <w:pPr>
              <w:ind w:left="281" w:hanging="340"/>
              <w:rPr>
                <w:rFonts w:ascii="Arial" w:hAnsi="Arial" w:cs="Arial"/>
                <w:sz w:val="22"/>
                <w:szCs w:val="22"/>
              </w:rPr>
            </w:pPr>
            <w:r>
              <w:rPr>
                <w:rFonts w:ascii="Arial" w:hAnsi="Arial" w:cs="Arial"/>
                <w:sz w:val="22"/>
                <w:szCs w:val="22"/>
              </w:rPr>
              <w:t>Spare parts &amp; accessories</w:t>
            </w:r>
          </w:p>
        </w:tc>
        <w:tc>
          <w:tcPr>
            <w:tcW w:w="1796" w:type="dxa"/>
          </w:tcPr>
          <w:p w:rsidR="00834D8A" w:rsidRPr="002B2CE1" w:rsidRDefault="00834D8A" w:rsidP="009B40BD">
            <w:pPr>
              <w:ind w:left="-99"/>
              <w:jc w:val="right"/>
              <w:rPr>
                <w:rFonts w:ascii="Arial" w:hAnsi="Arial" w:cs="Arial"/>
                <w:sz w:val="22"/>
                <w:szCs w:val="22"/>
              </w:rPr>
            </w:pPr>
            <w:r>
              <w:rPr>
                <w:rFonts w:ascii="Arial" w:hAnsi="Arial" w:cs="Arial"/>
                <w:sz w:val="22"/>
                <w:szCs w:val="22"/>
              </w:rPr>
              <w:t xml:space="preserve">    </w:t>
            </w:r>
            <w:r w:rsidRPr="002B2CE1">
              <w:rPr>
                <w:rFonts w:ascii="Arial" w:hAnsi="Arial" w:cs="Arial"/>
                <w:sz w:val="22"/>
                <w:szCs w:val="22"/>
              </w:rPr>
              <w:t xml:space="preserve">     </w:t>
            </w:r>
            <w:r>
              <w:rPr>
                <w:rFonts w:ascii="Arial" w:hAnsi="Arial" w:cs="Arial"/>
                <w:sz w:val="22"/>
                <w:szCs w:val="22"/>
              </w:rPr>
              <w:t>64,926,656</w:t>
            </w:r>
          </w:p>
        </w:tc>
      </w:tr>
      <w:tr w:rsidR="00834D8A" w:rsidRPr="002B2CE1" w:rsidTr="009B40BD">
        <w:trPr>
          <w:jc w:val="center"/>
        </w:trPr>
        <w:tc>
          <w:tcPr>
            <w:tcW w:w="6581" w:type="dxa"/>
            <w:tcBorders>
              <w:bottom w:val="single" w:sz="4" w:space="0" w:color="auto"/>
            </w:tcBorders>
          </w:tcPr>
          <w:p w:rsidR="00834D8A" w:rsidRPr="002B2CE1" w:rsidRDefault="00834D8A" w:rsidP="007664C5">
            <w:pPr>
              <w:ind w:left="281" w:hanging="340"/>
              <w:rPr>
                <w:rFonts w:ascii="Arial" w:hAnsi="Arial" w:cs="Arial"/>
                <w:sz w:val="22"/>
                <w:szCs w:val="22"/>
              </w:rPr>
            </w:pPr>
            <w:r>
              <w:rPr>
                <w:rFonts w:ascii="Arial" w:hAnsi="Arial" w:cs="Arial"/>
                <w:sz w:val="22"/>
                <w:szCs w:val="22"/>
              </w:rPr>
              <w:t>Work-in-</w:t>
            </w:r>
            <w:r w:rsidR="007664C5">
              <w:rPr>
                <w:rFonts w:ascii="Arial" w:hAnsi="Arial" w:cs="Arial"/>
                <w:sz w:val="22"/>
                <w:szCs w:val="22"/>
              </w:rPr>
              <w:t>p</w:t>
            </w:r>
            <w:r>
              <w:rPr>
                <w:rFonts w:ascii="Arial" w:hAnsi="Arial" w:cs="Arial"/>
                <w:sz w:val="22"/>
                <w:szCs w:val="22"/>
              </w:rPr>
              <w:t>rocess</w:t>
            </w:r>
          </w:p>
        </w:tc>
        <w:tc>
          <w:tcPr>
            <w:tcW w:w="1796" w:type="dxa"/>
            <w:tcBorders>
              <w:bottom w:val="single" w:sz="4" w:space="0" w:color="auto"/>
            </w:tcBorders>
          </w:tcPr>
          <w:p w:rsidR="00834D8A" w:rsidRPr="002B2CE1" w:rsidRDefault="00834D8A" w:rsidP="009B40BD">
            <w:pPr>
              <w:tabs>
                <w:tab w:val="left" w:pos="1706"/>
              </w:tabs>
              <w:jc w:val="right"/>
              <w:rPr>
                <w:rFonts w:ascii="Arial" w:hAnsi="Arial" w:cs="Arial"/>
                <w:sz w:val="22"/>
                <w:szCs w:val="22"/>
              </w:rPr>
            </w:pPr>
            <w:r>
              <w:rPr>
                <w:rFonts w:ascii="Arial" w:hAnsi="Arial" w:cs="Arial"/>
                <w:sz w:val="22"/>
                <w:szCs w:val="22"/>
              </w:rPr>
              <w:t>8,244,759</w:t>
            </w:r>
          </w:p>
        </w:tc>
      </w:tr>
      <w:tr w:rsidR="00834D8A" w:rsidRPr="002B2CE1" w:rsidTr="009B40BD">
        <w:trPr>
          <w:jc w:val="center"/>
        </w:trPr>
        <w:tc>
          <w:tcPr>
            <w:tcW w:w="6581" w:type="dxa"/>
            <w:tcBorders>
              <w:top w:val="single" w:sz="4" w:space="0" w:color="auto"/>
            </w:tcBorders>
          </w:tcPr>
          <w:p w:rsidR="00834D8A" w:rsidRPr="002B2CE1" w:rsidRDefault="00834D8A" w:rsidP="009B40BD">
            <w:pPr>
              <w:ind w:left="281" w:hanging="340"/>
              <w:rPr>
                <w:rFonts w:ascii="Arial" w:hAnsi="Arial" w:cs="Arial"/>
                <w:b/>
                <w:sz w:val="22"/>
                <w:szCs w:val="22"/>
              </w:rPr>
            </w:pPr>
          </w:p>
        </w:tc>
        <w:tc>
          <w:tcPr>
            <w:tcW w:w="1796" w:type="dxa"/>
            <w:tcBorders>
              <w:top w:val="single" w:sz="4" w:space="0" w:color="auto"/>
            </w:tcBorders>
          </w:tcPr>
          <w:p w:rsidR="00834D8A" w:rsidRPr="000C6003" w:rsidRDefault="00834D8A" w:rsidP="009B40BD">
            <w:pPr>
              <w:tabs>
                <w:tab w:val="left" w:pos="302"/>
              </w:tabs>
              <w:jc w:val="right"/>
              <w:rPr>
                <w:rFonts w:ascii="Arial" w:hAnsi="Arial" w:cs="Arial"/>
                <w:sz w:val="22"/>
                <w:szCs w:val="22"/>
              </w:rPr>
            </w:pPr>
            <w:r w:rsidRPr="000C6003">
              <w:rPr>
                <w:rFonts w:ascii="Arial" w:hAnsi="Arial" w:cs="Arial"/>
                <w:sz w:val="22"/>
                <w:szCs w:val="22"/>
              </w:rPr>
              <w:t>73,171,415</w:t>
            </w:r>
          </w:p>
        </w:tc>
      </w:tr>
      <w:tr w:rsidR="00834D8A" w:rsidRPr="002B2CE1" w:rsidTr="009B40BD">
        <w:trPr>
          <w:jc w:val="center"/>
        </w:trPr>
        <w:tc>
          <w:tcPr>
            <w:tcW w:w="6581" w:type="dxa"/>
          </w:tcPr>
          <w:p w:rsidR="00834D8A" w:rsidRPr="000C6003" w:rsidRDefault="00834D8A" w:rsidP="007664C5">
            <w:pPr>
              <w:ind w:left="281" w:hanging="340"/>
              <w:rPr>
                <w:rFonts w:ascii="Arial" w:hAnsi="Arial" w:cs="Arial"/>
                <w:sz w:val="22"/>
                <w:szCs w:val="22"/>
              </w:rPr>
            </w:pPr>
            <w:r>
              <w:rPr>
                <w:rFonts w:ascii="Arial" w:hAnsi="Arial" w:cs="Arial"/>
                <w:sz w:val="22"/>
                <w:szCs w:val="22"/>
              </w:rPr>
              <w:t xml:space="preserve">Allowance for </w:t>
            </w:r>
            <w:r w:rsidR="007664C5">
              <w:rPr>
                <w:rFonts w:ascii="Arial" w:hAnsi="Arial" w:cs="Arial"/>
                <w:sz w:val="22"/>
                <w:szCs w:val="22"/>
              </w:rPr>
              <w:t>o</w:t>
            </w:r>
            <w:r>
              <w:rPr>
                <w:rFonts w:ascii="Arial" w:hAnsi="Arial" w:cs="Arial"/>
                <w:sz w:val="22"/>
                <w:szCs w:val="22"/>
              </w:rPr>
              <w:t>bsolescence</w:t>
            </w:r>
          </w:p>
        </w:tc>
        <w:tc>
          <w:tcPr>
            <w:tcW w:w="1796" w:type="dxa"/>
          </w:tcPr>
          <w:p w:rsidR="00834D8A" w:rsidRPr="000C6003" w:rsidRDefault="007F37C7" w:rsidP="007F37C7">
            <w:pPr>
              <w:tabs>
                <w:tab w:val="left" w:pos="302"/>
              </w:tabs>
              <w:ind w:right="-114"/>
              <w:jc w:val="right"/>
              <w:rPr>
                <w:rFonts w:ascii="Arial" w:hAnsi="Arial" w:cs="Arial"/>
                <w:sz w:val="22"/>
                <w:szCs w:val="22"/>
              </w:rPr>
            </w:pPr>
            <w:r>
              <w:rPr>
                <w:rFonts w:ascii="Arial" w:hAnsi="Arial" w:cs="Arial"/>
                <w:sz w:val="22"/>
                <w:szCs w:val="22"/>
              </w:rPr>
              <w:t>(</w:t>
            </w:r>
            <w:r w:rsidR="00834D8A">
              <w:rPr>
                <w:rFonts w:ascii="Arial" w:hAnsi="Arial" w:cs="Arial"/>
                <w:sz w:val="22"/>
                <w:szCs w:val="22"/>
              </w:rPr>
              <w:t>23,563,740</w:t>
            </w:r>
            <w:r>
              <w:rPr>
                <w:rFonts w:ascii="Arial" w:hAnsi="Arial" w:cs="Arial"/>
                <w:sz w:val="22"/>
                <w:szCs w:val="22"/>
              </w:rPr>
              <w:t>)</w:t>
            </w:r>
          </w:p>
        </w:tc>
      </w:tr>
      <w:tr w:rsidR="00834D8A" w:rsidRPr="002B2CE1" w:rsidTr="009B40BD">
        <w:trPr>
          <w:jc w:val="center"/>
        </w:trPr>
        <w:tc>
          <w:tcPr>
            <w:tcW w:w="6581" w:type="dxa"/>
            <w:tcBorders>
              <w:top w:val="single" w:sz="4" w:space="0" w:color="auto"/>
            </w:tcBorders>
          </w:tcPr>
          <w:p w:rsidR="00834D8A" w:rsidRPr="002B2CE1" w:rsidRDefault="00834D8A" w:rsidP="009B40BD">
            <w:pPr>
              <w:ind w:left="281" w:hanging="340"/>
              <w:rPr>
                <w:rFonts w:ascii="Arial" w:hAnsi="Arial" w:cs="Arial"/>
                <w:b/>
                <w:sz w:val="22"/>
                <w:szCs w:val="22"/>
              </w:rPr>
            </w:pPr>
          </w:p>
        </w:tc>
        <w:tc>
          <w:tcPr>
            <w:tcW w:w="1796" w:type="dxa"/>
            <w:tcBorders>
              <w:top w:val="single" w:sz="4" w:space="0" w:color="auto"/>
            </w:tcBorders>
          </w:tcPr>
          <w:p w:rsidR="00834D8A" w:rsidRPr="002B2CE1" w:rsidRDefault="00834D8A" w:rsidP="009B40BD">
            <w:pPr>
              <w:tabs>
                <w:tab w:val="left" w:pos="302"/>
              </w:tabs>
              <w:rPr>
                <w:rFonts w:ascii="Arial" w:hAnsi="Arial" w:cs="Arial"/>
                <w:b/>
                <w:sz w:val="22"/>
                <w:szCs w:val="22"/>
              </w:rPr>
            </w:pPr>
          </w:p>
        </w:tc>
      </w:tr>
      <w:tr w:rsidR="00834D8A" w:rsidRPr="002B2CE1" w:rsidTr="009B40BD">
        <w:trPr>
          <w:jc w:val="center"/>
        </w:trPr>
        <w:tc>
          <w:tcPr>
            <w:tcW w:w="6581" w:type="dxa"/>
            <w:tcBorders>
              <w:bottom w:val="double" w:sz="4" w:space="0" w:color="auto"/>
            </w:tcBorders>
          </w:tcPr>
          <w:p w:rsidR="00834D8A" w:rsidRPr="000C6003" w:rsidRDefault="00834D8A" w:rsidP="009B40BD">
            <w:pPr>
              <w:ind w:left="281" w:hanging="340"/>
              <w:rPr>
                <w:rFonts w:ascii="Arial" w:hAnsi="Arial" w:cs="Arial"/>
                <w:sz w:val="22"/>
                <w:szCs w:val="22"/>
              </w:rPr>
            </w:pPr>
            <w:r>
              <w:rPr>
                <w:rFonts w:ascii="Arial" w:hAnsi="Arial" w:cs="Arial"/>
                <w:sz w:val="22"/>
                <w:szCs w:val="22"/>
              </w:rPr>
              <w:t>Net</w:t>
            </w:r>
          </w:p>
        </w:tc>
        <w:tc>
          <w:tcPr>
            <w:tcW w:w="1796" w:type="dxa"/>
            <w:tcBorders>
              <w:bottom w:val="double" w:sz="4" w:space="0" w:color="auto"/>
            </w:tcBorders>
          </w:tcPr>
          <w:p w:rsidR="00834D8A" w:rsidRPr="000C6003" w:rsidRDefault="00834D8A" w:rsidP="009B40BD">
            <w:pPr>
              <w:tabs>
                <w:tab w:val="left" w:pos="302"/>
              </w:tabs>
              <w:ind w:hanging="81"/>
              <w:jc w:val="right"/>
              <w:rPr>
                <w:rFonts w:ascii="Arial" w:hAnsi="Arial" w:cs="Arial"/>
                <w:sz w:val="22"/>
                <w:szCs w:val="22"/>
              </w:rPr>
            </w:pPr>
            <w:r w:rsidRPr="000C6003">
              <w:rPr>
                <w:rFonts w:ascii="Arial" w:hAnsi="Arial" w:cs="Arial"/>
                <w:sz w:val="22"/>
                <w:szCs w:val="22"/>
              </w:rPr>
              <w:t>49,607,675</w:t>
            </w:r>
          </w:p>
        </w:tc>
      </w:tr>
    </w:tbl>
    <w:p w:rsidR="00834D8A" w:rsidRPr="002B2CE1" w:rsidRDefault="00834D8A" w:rsidP="00834D8A">
      <w:pPr>
        <w:rPr>
          <w:rFonts w:ascii="Arial" w:hAnsi="Arial" w:cs="Arial"/>
          <w:sz w:val="22"/>
          <w:szCs w:val="22"/>
        </w:rPr>
      </w:pPr>
    </w:p>
    <w:p w:rsidR="00834D8A" w:rsidRPr="002B2CE1" w:rsidRDefault="00834D8A" w:rsidP="00834D8A">
      <w:pPr>
        <w:ind w:left="360"/>
        <w:rPr>
          <w:rFonts w:ascii="Arial" w:hAnsi="Arial" w:cs="Arial"/>
          <w:sz w:val="22"/>
          <w:szCs w:val="22"/>
        </w:rPr>
      </w:pPr>
      <w:r>
        <w:rPr>
          <w:rFonts w:ascii="Arial" w:hAnsi="Arial" w:cs="Arial"/>
          <w:sz w:val="22"/>
          <w:szCs w:val="22"/>
        </w:rPr>
        <w:t xml:space="preserve">Included in the spare parts and accessories are items with a historical cost totaling P42,258,425 which have been identified and tagged as “unidentified” by the PADC team that was formed to conduct an inventory of the aircraft parts and accessories for CY 2014.  Management claims that the members of said team did not have the capability to properly assess or categorize a substantial portion of the items.  </w:t>
      </w:r>
    </w:p>
    <w:p w:rsidR="00834D8A" w:rsidRPr="002B2CE1" w:rsidRDefault="00834D8A" w:rsidP="00834D8A">
      <w:pPr>
        <w:rPr>
          <w:rFonts w:ascii="Arial" w:hAnsi="Arial" w:cs="Arial"/>
          <w:sz w:val="22"/>
          <w:szCs w:val="22"/>
        </w:rPr>
      </w:pPr>
    </w:p>
    <w:p w:rsidR="00834D8A" w:rsidRPr="002B2CE1" w:rsidRDefault="00834D8A" w:rsidP="00834D8A">
      <w:pPr>
        <w:pStyle w:val="NoSpacing"/>
        <w:tabs>
          <w:tab w:val="left" w:pos="5760"/>
        </w:tabs>
        <w:ind w:left="360"/>
        <w:rPr>
          <w:rFonts w:ascii="Arial" w:hAnsi="Arial" w:cs="Arial"/>
          <w:sz w:val="22"/>
          <w:szCs w:val="22"/>
        </w:rPr>
      </w:pPr>
      <w:r>
        <w:rPr>
          <w:rFonts w:ascii="Arial" w:hAnsi="Arial" w:cs="Arial"/>
          <w:sz w:val="22"/>
          <w:szCs w:val="22"/>
        </w:rPr>
        <w:t xml:space="preserve">Management committed that they </w:t>
      </w:r>
      <w:r w:rsidRPr="002B2CE1">
        <w:rPr>
          <w:rFonts w:ascii="Arial" w:hAnsi="Arial" w:cs="Arial"/>
          <w:sz w:val="22"/>
          <w:szCs w:val="22"/>
        </w:rPr>
        <w:t>will set up an additional allowance for obsolescence in 2013 once the reclassification has been completed.  We noted that despite Management’s completion of the re-tagging and reclassification of aircraft inventory, no adjustments were made to the allowance account.  We have reiterated in previous years’ Annual Audit Reports that the last allowance for obsolescence was provided in CY 1991.  Therefore, there has been no provision for the past 22 years and consequently, the aircraft inventory account is not reflected at lower of cost or NRV.</w:t>
      </w:r>
    </w:p>
    <w:p w:rsidR="00834D8A" w:rsidRPr="002B2CE1" w:rsidRDefault="00834D8A" w:rsidP="00834D8A">
      <w:pPr>
        <w:rPr>
          <w:rFonts w:ascii="Arial" w:hAnsi="Arial" w:cs="Arial"/>
          <w:sz w:val="22"/>
          <w:szCs w:val="22"/>
        </w:rPr>
      </w:pPr>
    </w:p>
    <w:p w:rsidR="00834D8A" w:rsidRDefault="00834D8A" w:rsidP="00834D8A">
      <w:pPr>
        <w:ind w:left="360"/>
        <w:rPr>
          <w:rFonts w:ascii="Arial" w:hAnsi="Arial" w:cs="Arial"/>
          <w:sz w:val="22"/>
          <w:szCs w:val="22"/>
        </w:rPr>
      </w:pPr>
      <w:r>
        <w:rPr>
          <w:rFonts w:ascii="Arial" w:hAnsi="Arial" w:cs="Arial"/>
          <w:sz w:val="22"/>
          <w:szCs w:val="22"/>
        </w:rPr>
        <w:t>Management, during previous years’ audits, replied that their commitment to set-up an additional allowance for obsolescence was held in abeyance because a Fact Finding Committee is still validating the condition of inventories.  They assured that they will certainly take the necessary adjustments once the Committee has established the facts for its obsolescence and non-traceability.  However, to date, no adjustment has been made in the all</w:t>
      </w:r>
      <w:r w:rsidR="00ED172A">
        <w:rPr>
          <w:rFonts w:ascii="Arial" w:hAnsi="Arial" w:cs="Arial"/>
          <w:sz w:val="22"/>
          <w:szCs w:val="22"/>
        </w:rPr>
        <w:t>owance for obsolescence account for the said inventories which are considered worthless because they could no longer be installed to aircrafts or be sold for lack of authenticating documents from their respective manufacturers.  As a result, inventory is overstated while</w:t>
      </w:r>
      <w:r w:rsidR="00796DAD">
        <w:rPr>
          <w:rFonts w:ascii="Arial" w:hAnsi="Arial" w:cs="Arial"/>
          <w:sz w:val="22"/>
          <w:szCs w:val="22"/>
        </w:rPr>
        <w:t xml:space="preserve"> </w:t>
      </w:r>
      <w:r w:rsidR="00ED172A">
        <w:rPr>
          <w:rFonts w:ascii="Arial" w:hAnsi="Arial" w:cs="Arial"/>
          <w:sz w:val="22"/>
          <w:szCs w:val="22"/>
        </w:rPr>
        <w:t xml:space="preserve">the expense account is understated both by P42.258 </w:t>
      </w:r>
      <w:r w:rsidR="00796DAD">
        <w:rPr>
          <w:rFonts w:ascii="Arial" w:hAnsi="Arial" w:cs="Arial"/>
          <w:sz w:val="22"/>
          <w:szCs w:val="22"/>
        </w:rPr>
        <w:t xml:space="preserve"> </w:t>
      </w:r>
      <w:r w:rsidR="00ED172A">
        <w:rPr>
          <w:rFonts w:ascii="Arial" w:hAnsi="Arial" w:cs="Arial"/>
          <w:sz w:val="22"/>
          <w:szCs w:val="22"/>
        </w:rPr>
        <w:t>million.</w:t>
      </w:r>
    </w:p>
    <w:p w:rsidR="00834D8A" w:rsidRDefault="00834D8A" w:rsidP="00834D8A">
      <w:pPr>
        <w:ind w:left="360"/>
        <w:rPr>
          <w:rFonts w:ascii="Arial" w:hAnsi="Arial" w:cs="Arial"/>
          <w:sz w:val="22"/>
          <w:szCs w:val="22"/>
        </w:rPr>
      </w:pPr>
    </w:p>
    <w:p w:rsidR="00834D8A" w:rsidRDefault="009B40BD" w:rsidP="00834D8A">
      <w:pPr>
        <w:ind w:left="360"/>
        <w:rPr>
          <w:rFonts w:ascii="Arial" w:hAnsi="Arial" w:cs="Arial"/>
          <w:sz w:val="22"/>
          <w:szCs w:val="22"/>
        </w:rPr>
      </w:pPr>
      <w:r>
        <w:rPr>
          <w:rFonts w:ascii="Arial" w:hAnsi="Arial" w:cs="Arial"/>
          <w:sz w:val="22"/>
          <w:szCs w:val="22"/>
        </w:rPr>
        <w:lastRenderedPageBreak/>
        <w:t>W</w:t>
      </w:r>
      <w:r w:rsidR="00834D8A">
        <w:rPr>
          <w:rFonts w:ascii="Arial" w:hAnsi="Arial" w:cs="Arial"/>
          <w:sz w:val="22"/>
          <w:szCs w:val="22"/>
        </w:rPr>
        <w:t>e recommend</w:t>
      </w:r>
      <w:r w:rsidR="00F332B3">
        <w:rPr>
          <w:rFonts w:ascii="Arial" w:hAnsi="Arial" w:cs="Arial"/>
          <w:sz w:val="22"/>
          <w:szCs w:val="22"/>
        </w:rPr>
        <w:t>ed</w:t>
      </w:r>
      <w:r w:rsidR="00834D8A">
        <w:rPr>
          <w:rFonts w:ascii="Arial" w:hAnsi="Arial" w:cs="Arial"/>
          <w:sz w:val="22"/>
          <w:szCs w:val="22"/>
        </w:rPr>
        <w:t xml:space="preserve"> that Management consider the hiring of an independent appraisal company to evaluate its aircraft parts and accessories inventory and to determine the net realizable values of the items.</w:t>
      </w:r>
    </w:p>
    <w:p w:rsidR="00454317" w:rsidRDefault="00454317" w:rsidP="00834D8A">
      <w:pPr>
        <w:ind w:left="360"/>
        <w:rPr>
          <w:rFonts w:ascii="Arial" w:hAnsi="Arial" w:cs="Arial"/>
          <w:sz w:val="22"/>
          <w:szCs w:val="22"/>
        </w:rPr>
      </w:pPr>
    </w:p>
    <w:p w:rsidR="00454317" w:rsidRDefault="00454317" w:rsidP="00834D8A">
      <w:pPr>
        <w:ind w:left="360"/>
        <w:rPr>
          <w:rFonts w:ascii="Arial" w:hAnsi="Arial" w:cs="Arial"/>
          <w:sz w:val="22"/>
          <w:szCs w:val="22"/>
        </w:rPr>
      </w:pPr>
      <w:r>
        <w:rPr>
          <w:rFonts w:ascii="Arial" w:hAnsi="Arial" w:cs="Arial"/>
          <w:sz w:val="22"/>
          <w:szCs w:val="22"/>
        </w:rPr>
        <w:t>Management was open to the idea of hiring an independent appraisal company.  However, they were concerned that the cost of the appraisal may be expensive that it might be equal to or more than the cost of the aircraft parts and accessories to be evaluated.  Nevertheless, a commitment was made to study the cost of appraisal vis-à-vis the net value of the parts to determine if it was cost effective to pursue the appraisal.</w:t>
      </w:r>
    </w:p>
    <w:p w:rsidR="00834D8A" w:rsidRDefault="00834D8A" w:rsidP="00454317">
      <w:pPr>
        <w:tabs>
          <w:tab w:val="left" w:pos="180"/>
        </w:tabs>
        <w:ind w:left="360"/>
        <w:outlineLvl w:val="0"/>
        <w:rPr>
          <w:rFonts w:ascii="Arial" w:hAnsi="Arial" w:cs="Arial"/>
          <w:sz w:val="22"/>
          <w:szCs w:val="22"/>
        </w:rPr>
      </w:pPr>
    </w:p>
    <w:p w:rsidR="00E028A7" w:rsidRDefault="00E028A7" w:rsidP="00454317">
      <w:pPr>
        <w:ind w:left="360"/>
        <w:rPr>
          <w:rFonts w:ascii="Arial" w:hAnsi="Arial" w:cs="Arial"/>
          <w:sz w:val="22"/>
          <w:szCs w:val="22"/>
        </w:rPr>
      </w:pPr>
    </w:p>
    <w:p w:rsidR="00E028A7" w:rsidRPr="002B2CE1" w:rsidRDefault="00E028A7" w:rsidP="00E028A7">
      <w:pPr>
        <w:numPr>
          <w:ilvl w:val="0"/>
          <w:numId w:val="10"/>
        </w:numPr>
        <w:rPr>
          <w:rFonts w:ascii="Arial" w:hAnsi="Arial" w:cs="Arial"/>
          <w:b/>
          <w:sz w:val="22"/>
          <w:szCs w:val="22"/>
        </w:rPr>
      </w:pPr>
      <w:r>
        <w:rPr>
          <w:rFonts w:ascii="Arial" w:hAnsi="Arial" w:cs="Arial"/>
          <w:b/>
          <w:sz w:val="22"/>
          <w:szCs w:val="22"/>
        </w:rPr>
        <w:t xml:space="preserve">Long outstanding balances of receivables from the Corporation’s former officers and employees </w:t>
      </w:r>
      <w:r w:rsidR="00DF04FD">
        <w:rPr>
          <w:rFonts w:ascii="Arial" w:hAnsi="Arial" w:cs="Arial"/>
          <w:b/>
          <w:sz w:val="22"/>
          <w:szCs w:val="22"/>
        </w:rPr>
        <w:t>totaling P</w:t>
      </w:r>
      <w:r>
        <w:rPr>
          <w:rFonts w:ascii="Arial" w:hAnsi="Arial" w:cs="Arial"/>
          <w:b/>
          <w:sz w:val="22"/>
          <w:szCs w:val="22"/>
        </w:rPr>
        <w:t>1</w:t>
      </w:r>
      <w:r w:rsidR="007664C5">
        <w:rPr>
          <w:rFonts w:ascii="Arial" w:hAnsi="Arial" w:cs="Arial"/>
          <w:b/>
          <w:sz w:val="22"/>
          <w:szCs w:val="22"/>
        </w:rPr>
        <w:t>.</w:t>
      </w:r>
      <w:r>
        <w:rPr>
          <w:rFonts w:ascii="Arial" w:hAnsi="Arial" w:cs="Arial"/>
          <w:b/>
          <w:sz w:val="22"/>
          <w:szCs w:val="22"/>
        </w:rPr>
        <w:t>934</w:t>
      </w:r>
      <w:r w:rsidR="007664C5">
        <w:rPr>
          <w:rFonts w:ascii="Arial" w:hAnsi="Arial" w:cs="Arial"/>
          <w:b/>
          <w:sz w:val="22"/>
          <w:szCs w:val="22"/>
        </w:rPr>
        <w:t xml:space="preserve"> million</w:t>
      </w:r>
      <w:r w:rsidR="007F37C7">
        <w:rPr>
          <w:rFonts w:ascii="Arial" w:hAnsi="Arial" w:cs="Arial"/>
          <w:b/>
          <w:sz w:val="22"/>
          <w:szCs w:val="22"/>
        </w:rPr>
        <w:t xml:space="preserve"> </w:t>
      </w:r>
      <w:r>
        <w:rPr>
          <w:rFonts w:ascii="Arial" w:hAnsi="Arial" w:cs="Arial"/>
          <w:b/>
          <w:sz w:val="22"/>
          <w:szCs w:val="22"/>
        </w:rPr>
        <w:t>remain unsettled despite being raised as a concern in previous years’ audit</w:t>
      </w:r>
      <w:r w:rsidR="00DF04FD">
        <w:rPr>
          <w:rFonts w:ascii="Arial" w:hAnsi="Arial" w:cs="Arial"/>
          <w:b/>
          <w:sz w:val="22"/>
          <w:szCs w:val="22"/>
        </w:rPr>
        <w:t>s</w:t>
      </w:r>
      <w:r>
        <w:rPr>
          <w:rFonts w:ascii="Arial" w:hAnsi="Arial" w:cs="Arial"/>
          <w:b/>
          <w:sz w:val="22"/>
          <w:szCs w:val="22"/>
        </w:rPr>
        <w:t>.</w:t>
      </w:r>
    </w:p>
    <w:p w:rsidR="003F15F5" w:rsidRPr="003F15F5" w:rsidRDefault="003F15F5" w:rsidP="0010501B">
      <w:pPr>
        <w:ind w:left="-288"/>
        <w:rPr>
          <w:rFonts w:ascii="Arial" w:hAnsi="Arial" w:cs="Arial"/>
          <w:b/>
          <w:sz w:val="22"/>
          <w:szCs w:val="22"/>
        </w:rPr>
      </w:pPr>
    </w:p>
    <w:p w:rsidR="00DF04FD" w:rsidRDefault="00DF04FD" w:rsidP="00DF04FD">
      <w:pPr>
        <w:ind w:left="360"/>
        <w:rPr>
          <w:rFonts w:ascii="Arial" w:hAnsi="Arial" w:cs="Arial"/>
          <w:sz w:val="22"/>
        </w:rPr>
      </w:pPr>
      <w:r>
        <w:rPr>
          <w:rFonts w:ascii="Arial" w:hAnsi="Arial" w:cs="Arial"/>
          <w:sz w:val="22"/>
        </w:rPr>
        <w:t xml:space="preserve">Our review of the Due from Officers and Employees account disclosed that long outstanding balances from officers and staff amounting to P1.934 million have remained unsettled except for the full </w:t>
      </w:r>
      <w:r w:rsidR="007F37C7">
        <w:rPr>
          <w:rFonts w:ascii="Arial" w:hAnsi="Arial" w:cs="Arial"/>
          <w:sz w:val="22"/>
        </w:rPr>
        <w:t xml:space="preserve">payment by a former PADC President </w:t>
      </w:r>
      <w:r>
        <w:rPr>
          <w:rFonts w:ascii="Arial" w:hAnsi="Arial" w:cs="Arial"/>
          <w:sz w:val="22"/>
        </w:rPr>
        <w:t xml:space="preserve">of his P17,050.80 balance </w:t>
      </w:r>
      <w:r w:rsidR="006527B5">
        <w:rPr>
          <w:rFonts w:ascii="Arial" w:hAnsi="Arial" w:cs="Arial"/>
          <w:sz w:val="22"/>
        </w:rPr>
        <w:t>i</w:t>
      </w:r>
      <w:r>
        <w:rPr>
          <w:rFonts w:ascii="Arial" w:hAnsi="Arial" w:cs="Arial"/>
          <w:sz w:val="22"/>
        </w:rPr>
        <w:t>n January 2015.</w:t>
      </w:r>
    </w:p>
    <w:p w:rsidR="00DF04FD" w:rsidRDefault="00DF04FD" w:rsidP="00DF04FD">
      <w:pPr>
        <w:ind w:left="360"/>
        <w:rPr>
          <w:rFonts w:ascii="Arial" w:hAnsi="Arial" w:cs="Arial"/>
          <w:sz w:val="22"/>
        </w:rPr>
      </w:pPr>
    </w:p>
    <w:p w:rsidR="00DF04FD" w:rsidRDefault="00DF04FD" w:rsidP="00DF04FD">
      <w:pPr>
        <w:ind w:left="360"/>
        <w:rPr>
          <w:rFonts w:ascii="Arial" w:hAnsi="Arial" w:cs="Arial"/>
          <w:sz w:val="22"/>
        </w:rPr>
      </w:pPr>
      <w:r>
        <w:rPr>
          <w:rFonts w:ascii="Arial" w:hAnsi="Arial" w:cs="Arial"/>
          <w:sz w:val="22"/>
        </w:rPr>
        <w:t>From the schedules prepared by Management, the long outstanding balances may be classified into two categories namely: (a) substantial amounts totaling P1,871,682.23 that were a result of Notice of Disallowances issued by COA after the accountable persons have already been separated from the service; and (b) minimal amounts that add up to P62,529.52 pertaining to, among others, unpaid telephone bills and other miscellaneous personal charges, records of which can no longer be located.  Similarly, the accountable persons for these minimal charges have already left the Corporation.</w:t>
      </w:r>
    </w:p>
    <w:p w:rsidR="00DF04FD" w:rsidRDefault="00DF04FD" w:rsidP="00DF04FD">
      <w:pPr>
        <w:ind w:left="360"/>
        <w:rPr>
          <w:rFonts w:ascii="Arial" w:hAnsi="Arial" w:cs="Arial"/>
          <w:sz w:val="22"/>
        </w:rPr>
      </w:pPr>
    </w:p>
    <w:p w:rsidR="00DF04FD" w:rsidRDefault="00DF04FD" w:rsidP="00DF04FD">
      <w:pPr>
        <w:ind w:left="360"/>
        <w:rPr>
          <w:rFonts w:ascii="Arial" w:hAnsi="Arial" w:cs="Arial"/>
          <w:sz w:val="22"/>
        </w:rPr>
      </w:pPr>
      <w:r>
        <w:rPr>
          <w:rFonts w:ascii="Arial" w:hAnsi="Arial" w:cs="Arial"/>
          <w:sz w:val="22"/>
        </w:rPr>
        <w:t xml:space="preserve">Collectibles from former employees resulting from the issuance of Notices of Disallowance </w:t>
      </w:r>
      <w:r w:rsidR="00F332B3">
        <w:rPr>
          <w:rFonts w:ascii="Arial" w:hAnsi="Arial" w:cs="Arial"/>
          <w:sz w:val="22"/>
        </w:rPr>
        <w:t xml:space="preserve">and Notices of Finality of Decision </w:t>
      </w:r>
      <w:r>
        <w:rPr>
          <w:rFonts w:ascii="Arial" w:hAnsi="Arial" w:cs="Arial"/>
          <w:sz w:val="22"/>
        </w:rPr>
        <w:t>are as follows:</w:t>
      </w:r>
    </w:p>
    <w:p w:rsidR="00DF04FD" w:rsidRDefault="00DF04FD" w:rsidP="00DF04FD">
      <w:pPr>
        <w:ind w:left="360"/>
        <w:rPr>
          <w:rFonts w:ascii="Arial" w:hAnsi="Arial" w:cs="Arial"/>
          <w:sz w:val="22"/>
        </w:rPr>
      </w:pPr>
    </w:p>
    <w:p w:rsidR="00DF04FD" w:rsidRDefault="00DF04FD" w:rsidP="006527B5">
      <w:pPr>
        <w:pStyle w:val="ListParagraph"/>
        <w:ind w:left="1170"/>
        <w:rPr>
          <w:rFonts w:ascii="Arial" w:hAnsi="Arial" w:cs="Arial"/>
          <w:sz w:val="22"/>
        </w:rPr>
      </w:pPr>
      <w:r>
        <w:rPr>
          <w:rFonts w:ascii="Arial" w:hAnsi="Arial" w:cs="Arial"/>
          <w:sz w:val="22"/>
        </w:rPr>
        <w:t>Aquino, Ma. Lorena</w:t>
      </w:r>
      <w:r w:rsidR="007A52B5">
        <w:rPr>
          <w:rFonts w:ascii="Arial" w:hAnsi="Arial" w:cs="Arial"/>
          <w:sz w:val="22"/>
        </w:rPr>
        <w:tab/>
      </w:r>
      <w:r w:rsidR="007A52B5">
        <w:rPr>
          <w:rFonts w:ascii="Arial" w:hAnsi="Arial" w:cs="Arial"/>
          <w:sz w:val="22"/>
        </w:rPr>
        <w:tab/>
      </w:r>
      <w:r w:rsidR="007A52B5">
        <w:rPr>
          <w:rFonts w:ascii="Arial" w:hAnsi="Arial" w:cs="Arial"/>
          <w:sz w:val="22"/>
        </w:rPr>
        <w:tab/>
      </w:r>
      <w:r w:rsidR="00F332B3">
        <w:rPr>
          <w:rFonts w:ascii="Arial" w:hAnsi="Arial" w:cs="Arial"/>
          <w:sz w:val="22"/>
        </w:rPr>
        <w:t xml:space="preserve">   </w:t>
      </w:r>
      <w:r w:rsidR="006527B5">
        <w:rPr>
          <w:rFonts w:ascii="Arial" w:hAnsi="Arial" w:cs="Arial"/>
          <w:sz w:val="22"/>
        </w:rPr>
        <w:t xml:space="preserve">  </w:t>
      </w:r>
      <w:r w:rsidR="00F332B3">
        <w:rPr>
          <w:rFonts w:ascii="Arial" w:hAnsi="Arial" w:cs="Arial"/>
          <w:sz w:val="22"/>
        </w:rPr>
        <w:t xml:space="preserve"> </w:t>
      </w:r>
      <w:r w:rsidR="007A52B5">
        <w:rPr>
          <w:rFonts w:ascii="Arial" w:hAnsi="Arial" w:cs="Arial"/>
          <w:sz w:val="22"/>
        </w:rPr>
        <w:t xml:space="preserve">    </w:t>
      </w:r>
      <w:r w:rsidR="006527B5">
        <w:rPr>
          <w:rFonts w:ascii="Arial" w:hAnsi="Arial" w:cs="Arial"/>
          <w:sz w:val="22"/>
        </w:rPr>
        <w:t xml:space="preserve">  </w:t>
      </w:r>
      <w:r w:rsidR="007A52B5">
        <w:rPr>
          <w:rFonts w:ascii="Arial" w:hAnsi="Arial" w:cs="Arial"/>
          <w:sz w:val="22"/>
        </w:rPr>
        <w:t>84,590.51</w:t>
      </w:r>
    </w:p>
    <w:p w:rsidR="00DF04FD" w:rsidRDefault="00DF04FD" w:rsidP="006527B5">
      <w:pPr>
        <w:pStyle w:val="ListParagraph"/>
        <w:ind w:left="1170"/>
        <w:rPr>
          <w:rFonts w:ascii="Arial" w:hAnsi="Arial" w:cs="Arial"/>
          <w:sz w:val="22"/>
        </w:rPr>
      </w:pPr>
      <w:r>
        <w:rPr>
          <w:rFonts w:ascii="Arial" w:hAnsi="Arial" w:cs="Arial"/>
          <w:sz w:val="22"/>
        </w:rPr>
        <w:t>Crisologo, Danilo</w:t>
      </w:r>
      <w:r w:rsidR="007A52B5">
        <w:rPr>
          <w:rFonts w:ascii="Arial" w:hAnsi="Arial" w:cs="Arial"/>
          <w:sz w:val="22"/>
        </w:rPr>
        <w:tab/>
      </w:r>
      <w:r w:rsidR="007A52B5">
        <w:rPr>
          <w:rFonts w:ascii="Arial" w:hAnsi="Arial" w:cs="Arial"/>
          <w:sz w:val="22"/>
        </w:rPr>
        <w:tab/>
      </w:r>
      <w:r w:rsidR="007A52B5">
        <w:rPr>
          <w:rFonts w:ascii="Arial" w:hAnsi="Arial" w:cs="Arial"/>
          <w:sz w:val="22"/>
        </w:rPr>
        <w:tab/>
        <w:t xml:space="preserve">                 492,677.50</w:t>
      </w:r>
    </w:p>
    <w:p w:rsidR="00DF04FD" w:rsidRDefault="00DF04FD" w:rsidP="006527B5">
      <w:pPr>
        <w:pStyle w:val="ListParagraph"/>
        <w:ind w:left="1170"/>
        <w:rPr>
          <w:rFonts w:ascii="Arial" w:hAnsi="Arial" w:cs="Arial"/>
          <w:sz w:val="22"/>
        </w:rPr>
      </w:pPr>
      <w:r>
        <w:rPr>
          <w:rFonts w:ascii="Arial" w:hAnsi="Arial" w:cs="Arial"/>
          <w:sz w:val="22"/>
        </w:rPr>
        <w:t>Echin, Raquel</w:t>
      </w:r>
      <w:r w:rsidR="007A52B5">
        <w:rPr>
          <w:rFonts w:ascii="Arial" w:hAnsi="Arial" w:cs="Arial"/>
          <w:sz w:val="22"/>
        </w:rPr>
        <w:tab/>
      </w:r>
      <w:r w:rsidR="007A52B5">
        <w:rPr>
          <w:rFonts w:ascii="Arial" w:hAnsi="Arial" w:cs="Arial"/>
          <w:sz w:val="22"/>
        </w:rPr>
        <w:tab/>
      </w:r>
      <w:r w:rsidR="007A52B5">
        <w:rPr>
          <w:rFonts w:ascii="Arial" w:hAnsi="Arial" w:cs="Arial"/>
          <w:sz w:val="22"/>
        </w:rPr>
        <w:tab/>
      </w:r>
      <w:r w:rsidR="007A52B5">
        <w:rPr>
          <w:rFonts w:ascii="Arial" w:hAnsi="Arial" w:cs="Arial"/>
          <w:sz w:val="22"/>
        </w:rPr>
        <w:tab/>
        <w:t xml:space="preserve">                   25,750.00</w:t>
      </w:r>
    </w:p>
    <w:p w:rsidR="00DF04FD" w:rsidRDefault="00DF04FD" w:rsidP="006527B5">
      <w:pPr>
        <w:pStyle w:val="ListParagraph"/>
        <w:ind w:left="1170"/>
        <w:rPr>
          <w:rFonts w:ascii="Arial" w:hAnsi="Arial" w:cs="Arial"/>
          <w:sz w:val="22"/>
        </w:rPr>
      </w:pPr>
      <w:r>
        <w:rPr>
          <w:rFonts w:ascii="Arial" w:hAnsi="Arial" w:cs="Arial"/>
          <w:sz w:val="22"/>
        </w:rPr>
        <w:t>Herezo, Alicia</w:t>
      </w:r>
      <w:r w:rsidR="007A52B5">
        <w:rPr>
          <w:rFonts w:ascii="Arial" w:hAnsi="Arial" w:cs="Arial"/>
          <w:sz w:val="22"/>
        </w:rPr>
        <w:tab/>
      </w:r>
      <w:r w:rsidR="007A52B5">
        <w:rPr>
          <w:rFonts w:ascii="Arial" w:hAnsi="Arial" w:cs="Arial"/>
          <w:sz w:val="22"/>
        </w:rPr>
        <w:tab/>
      </w:r>
      <w:r w:rsidR="007A52B5">
        <w:rPr>
          <w:rFonts w:ascii="Arial" w:hAnsi="Arial" w:cs="Arial"/>
          <w:sz w:val="22"/>
        </w:rPr>
        <w:tab/>
      </w:r>
      <w:r w:rsidR="007A52B5">
        <w:rPr>
          <w:rFonts w:ascii="Arial" w:hAnsi="Arial" w:cs="Arial"/>
          <w:sz w:val="22"/>
        </w:rPr>
        <w:tab/>
        <w:t xml:space="preserve">                     6,508.13</w:t>
      </w:r>
    </w:p>
    <w:p w:rsidR="00DF04FD" w:rsidRDefault="00DF04FD" w:rsidP="006527B5">
      <w:pPr>
        <w:pStyle w:val="ListParagraph"/>
        <w:ind w:left="1170"/>
        <w:rPr>
          <w:rFonts w:ascii="Arial" w:hAnsi="Arial" w:cs="Arial"/>
          <w:sz w:val="22"/>
        </w:rPr>
      </w:pPr>
      <w:r>
        <w:rPr>
          <w:rFonts w:ascii="Arial" w:hAnsi="Arial" w:cs="Arial"/>
          <w:sz w:val="22"/>
        </w:rPr>
        <w:t>Lazaro, Richard</w:t>
      </w:r>
      <w:r w:rsidR="007A52B5">
        <w:rPr>
          <w:rFonts w:ascii="Arial" w:hAnsi="Arial" w:cs="Arial"/>
          <w:sz w:val="22"/>
        </w:rPr>
        <w:tab/>
      </w:r>
      <w:r w:rsidR="007A52B5">
        <w:rPr>
          <w:rFonts w:ascii="Arial" w:hAnsi="Arial" w:cs="Arial"/>
          <w:sz w:val="22"/>
        </w:rPr>
        <w:tab/>
      </w:r>
      <w:r w:rsidR="007A52B5">
        <w:rPr>
          <w:rFonts w:ascii="Arial" w:hAnsi="Arial" w:cs="Arial"/>
          <w:sz w:val="22"/>
        </w:rPr>
        <w:tab/>
        <w:t xml:space="preserve">                 199,306.92</w:t>
      </w:r>
    </w:p>
    <w:p w:rsidR="00DF04FD" w:rsidRDefault="007A52B5" w:rsidP="006527B5">
      <w:pPr>
        <w:pStyle w:val="ListParagraph"/>
        <w:ind w:left="1170"/>
        <w:rPr>
          <w:rFonts w:ascii="Arial" w:hAnsi="Arial" w:cs="Arial"/>
          <w:sz w:val="22"/>
        </w:rPr>
      </w:pPr>
      <w:r>
        <w:rPr>
          <w:rFonts w:ascii="Arial" w:hAnsi="Arial" w:cs="Arial"/>
          <w:sz w:val="22"/>
        </w:rPr>
        <w:t>Manlavi, Roberto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93,937.14</w:t>
      </w:r>
    </w:p>
    <w:p w:rsidR="007A52B5" w:rsidRDefault="007A52B5" w:rsidP="006527B5">
      <w:pPr>
        <w:pStyle w:val="ListParagraph"/>
        <w:ind w:left="1170"/>
        <w:rPr>
          <w:rFonts w:ascii="Arial" w:hAnsi="Arial" w:cs="Arial"/>
          <w:sz w:val="22"/>
        </w:rPr>
      </w:pPr>
      <w:r>
        <w:rPr>
          <w:rFonts w:ascii="Arial" w:hAnsi="Arial" w:cs="Arial"/>
          <w:sz w:val="22"/>
        </w:rPr>
        <w:t>Miane, Vilma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323,062.55</w:t>
      </w:r>
    </w:p>
    <w:p w:rsidR="007A52B5" w:rsidRDefault="007A52B5" w:rsidP="006527B5">
      <w:pPr>
        <w:pStyle w:val="ListParagraph"/>
        <w:ind w:left="1170"/>
        <w:rPr>
          <w:rFonts w:ascii="Arial" w:hAnsi="Arial" w:cs="Arial"/>
          <w:sz w:val="22"/>
        </w:rPr>
      </w:pPr>
      <w:r>
        <w:rPr>
          <w:rFonts w:ascii="Arial" w:hAnsi="Arial" w:cs="Arial"/>
          <w:sz w:val="22"/>
        </w:rPr>
        <w:t>Navida, Roberto</w:t>
      </w:r>
      <w:r>
        <w:rPr>
          <w:rFonts w:ascii="Arial" w:hAnsi="Arial" w:cs="Arial"/>
          <w:sz w:val="22"/>
        </w:rPr>
        <w:tab/>
      </w:r>
      <w:r>
        <w:rPr>
          <w:rFonts w:ascii="Arial" w:hAnsi="Arial" w:cs="Arial"/>
          <w:sz w:val="22"/>
        </w:rPr>
        <w:tab/>
      </w:r>
      <w:r>
        <w:rPr>
          <w:rFonts w:ascii="Arial" w:hAnsi="Arial" w:cs="Arial"/>
          <w:sz w:val="22"/>
        </w:rPr>
        <w:tab/>
        <w:t xml:space="preserve">                 626,878.68</w:t>
      </w:r>
    </w:p>
    <w:p w:rsidR="007A52B5" w:rsidRDefault="007A52B5" w:rsidP="006527B5">
      <w:pPr>
        <w:pStyle w:val="ListParagraph"/>
        <w:ind w:left="1170"/>
        <w:rPr>
          <w:rFonts w:ascii="Arial" w:hAnsi="Arial" w:cs="Arial"/>
          <w:sz w:val="22"/>
        </w:rPr>
      </w:pPr>
      <w:r>
        <w:rPr>
          <w:rFonts w:ascii="Arial" w:hAnsi="Arial" w:cs="Arial"/>
          <w:sz w:val="22"/>
        </w:rPr>
        <w:t>Paraguison, Darwin</w:t>
      </w:r>
      <w:r>
        <w:rPr>
          <w:rFonts w:ascii="Arial" w:hAnsi="Arial" w:cs="Arial"/>
          <w:sz w:val="22"/>
        </w:rPr>
        <w:tab/>
      </w:r>
      <w:r>
        <w:rPr>
          <w:rFonts w:ascii="Arial" w:hAnsi="Arial" w:cs="Arial"/>
          <w:sz w:val="22"/>
        </w:rPr>
        <w:tab/>
        <w:t xml:space="preserve">                     1,920.00</w:t>
      </w:r>
    </w:p>
    <w:p w:rsidR="007A52B5" w:rsidRPr="00DF04FD" w:rsidRDefault="007A52B5" w:rsidP="006527B5">
      <w:pPr>
        <w:pStyle w:val="ListParagraph"/>
        <w:ind w:left="1170"/>
        <w:rPr>
          <w:rFonts w:ascii="Arial" w:hAnsi="Arial" w:cs="Arial"/>
          <w:sz w:val="22"/>
        </w:rPr>
      </w:pPr>
      <w:r>
        <w:rPr>
          <w:rFonts w:ascii="Arial" w:hAnsi="Arial" w:cs="Arial"/>
          <w:sz w:val="22"/>
        </w:rPr>
        <w:t>Pengson, Angelo</w:t>
      </w:r>
      <w:r>
        <w:rPr>
          <w:rFonts w:ascii="Arial" w:hAnsi="Arial" w:cs="Arial"/>
          <w:sz w:val="22"/>
        </w:rPr>
        <w:tab/>
      </w:r>
      <w:r>
        <w:rPr>
          <w:rFonts w:ascii="Arial" w:hAnsi="Arial" w:cs="Arial"/>
          <w:sz w:val="22"/>
        </w:rPr>
        <w:tab/>
      </w:r>
      <w:r>
        <w:rPr>
          <w:rFonts w:ascii="Arial" w:hAnsi="Arial" w:cs="Arial"/>
          <w:sz w:val="22"/>
        </w:rPr>
        <w:tab/>
      </w:r>
      <w:r w:rsidRPr="00F332B3">
        <w:rPr>
          <w:rFonts w:ascii="Arial" w:hAnsi="Arial" w:cs="Arial"/>
          <w:sz w:val="22"/>
        </w:rPr>
        <w:t xml:space="preserve">         </w:t>
      </w:r>
      <w:r w:rsidR="00F332B3" w:rsidRPr="00F332B3">
        <w:rPr>
          <w:rFonts w:ascii="Arial" w:hAnsi="Arial" w:cs="Arial"/>
          <w:sz w:val="22"/>
        </w:rPr>
        <w:t xml:space="preserve"> </w:t>
      </w:r>
      <w:r w:rsidRPr="00F332B3">
        <w:rPr>
          <w:rFonts w:ascii="Arial" w:hAnsi="Arial" w:cs="Arial"/>
          <w:sz w:val="22"/>
          <w:u w:val="single"/>
        </w:rPr>
        <w:t xml:space="preserve">         17,050.80</w:t>
      </w:r>
    </w:p>
    <w:p w:rsidR="00DF04FD" w:rsidRPr="00F332B3" w:rsidRDefault="00DF04FD" w:rsidP="00DF04FD">
      <w:pPr>
        <w:ind w:left="360"/>
        <w:rPr>
          <w:rFonts w:ascii="Arial" w:hAnsi="Arial" w:cs="Arial"/>
          <w:sz w:val="16"/>
          <w:szCs w:val="16"/>
        </w:rPr>
      </w:pPr>
    </w:p>
    <w:p w:rsidR="007A52B5" w:rsidRPr="00F332B3" w:rsidRDefault="00F332B3" w:rsidP="00F332B3">
      <w:pPr>
        <w:ind w:left="4320"/>
        <w:rPr>
          <w:rFonts w:ascii="Arial" w:hAnsi="Arial" w:cs="Arial"/>
          <w:sz w:val="22"/>
          <w:u w:val="double"/>
        </w:rPr>
      </w:pPr>
      <w:r>
        <w:rPr>
          <w:rFonts w:ascii="Arial" w:hAnsi="Arial" w:cs="Arial"/>
          <w:sz w:val="22"/>
        </w:rPr>
        <w:t xml:space="preserve">   </w:t>
      </w:r>
      <w:r w:rsidRPr="00F332B3">
        <w:rPr>
          <w:rFonts w:ascii="Arial" w:hAnsi="Arial" w:cs="Arial"/>
          <w:sz w:val="22"/>
          <w:u w:val="double"/>
        </w:rPr>
        <w:t xml:space="preserve"> </w:t>
      </w:r>
      <w:r w:rsidR="006527B5">
        <w:rPr>
          <w:rFonts w:ascii="Arial" w:hAnsi="Arial" w:cs="Arial"/>
          <w:sz w:val="22"/>
          <w:u w:val="double"/>
        </w:rPr>
        <w:t xml:space="preserve">  </w:t>
      </w:r>
      <w:r w:rsidRPr="00F332B3">
        <w:rPr>
          <w:rFonts w:ascii="Arial" w:hAnsi="Arial" w:cs="Arial"/>
          <w:sz w:val="22"/>
          <w:u w:val="double"/>
        </w:rPr>
        <w:t xml:space="preserve"> 1,871,682.23</w:t>
      </w:r>
    </w:p>
    <w:p w:rsidR="007A52B5" w:rsidRDefault="007A52B5" w:rsidP="00DF04FD">
      <w:pPr>
        <w:ind w:left="360"/>
        <w:rPr>
          <w:rFonts w:ascii="Arial" w:hAnsi="Arial" w:cs="Arial"/>
          <w:sz w:val="22"/>
        </w:rPr>
      </w:pPr>
    </w:p>
    <w:p w:rsidR="00DF04FD" w:rsidRDefault="00DF04FD" w:rsidP="00DF04FD">
      <w:pPr>
        <w:ind w:left="360"/>
        <w:rPr>
          <w:rFonts w:ascii="Arial" w:hAnsi="Arial" w:cs="Arial"/>
          <w:sz w:val="22"/>
        </w:rPr>
      </w:pPr>
      <w:r>
        <w:rPr>
          <w:rFonts w:ascii="Arial" w:hAnsi="Arial" w:cs="Arial"/>
          <w:sz w:val="22"/>
        </w:rPr>
        <w:t xml:space="preserve">While it is apparent that collecting from these individuals will pose a challenge, we requested to be </w:t>
      </w:r>
      <w:r w:rsidR="00F332B3">
        <w:rPr>
          <w:rFonts w:ascii="Arial" w:hAnsi="Arial" w:cs="Arial"/>
          <w:sz w:val="22"/>
        </w:rPr>
        <w:t xml:space="preserve">updated </w:t>
      </w:r>
      <w:r>
        <w:rPr>
          <w:rFonts w:ascii="Arial" w:hAnsi="Arial" w:cs="Arial"/>
          <w:sz w:val="22"/>
        </w:rPr>
        <w:t>on the actions taken by Management to compel these individuals to settle their obligations.</w:t>
      </w:r>
      <w:r w:rsidR="00F332B3">
        <w:rPr>
          <w:rFonts w:ascii="Arial" w:hAnsi="Arial" w:cs="Arial"/>
          <w:sz w:val="22"/>
        </w:rPr>
        <w:t xml:space="preserve">  We were informed that formal demand letters have been sent to these individuals last January 2013.</w:t>
      </w:r>
    </w:p>
    <w:p w:rsidR="00ED172A" w:rsidRDefault="00ED172A" w:rsidP="00DF04FD">
      <w:pPr>
        <w:ind w:left="360"/>
        <w:rPr>
          <w:rFonts w:ascii="Arial" w:hAnsi="Arial" w:cs="Arial"/>
          <w:sz w:val="22"/>
        </w:rPr>
      </w:pPr>
    </w:p>
    <w:p w:rsidR="00DF04FD" w:rsidRDefault="009B40BD" w:rsidP="00DF04FD">
      <w:pPr>
        <w:ind w:left="360"/>
        <w:rPr>
          <w:rFonts w:ascii="Arial" w:hAnsi="Arial" w:cs="Arial"/>
          <w:sz w:val="22"/>
        </w:rPr>
      </w:pPr>
      <w:r>
        <w:rPr>
          <w:rFonts w:ascii="Arial" w:hAnsi="Arial" w:cs="Arial"/>
          <w:sz w:val="22"/>
        </w:rPr>
        <w:t>W</w:t>
      </w:r>
      <w:r w:rsidR="00DF04FD">
        <w:rPr>
          <w:rFonts w:ascii="Arial" w:hAnsi="Arial" w:cs="Arial"/>
          <w:sz w:val="22"/>
        </w:rPr>
        <w:t>e recommend</w:t>
      </w:r>
      <w:r w:rsidR="00F332B3">
        <w:rPr>
          <w:rFonts w:ascii="Arial" w:hAnsi="Arial" w:cs="Arial"/>
          <w:sz w:val="22"/>
        </w:rPr>
        <w:t>ed</w:t>
      </w:r>
      <w:r w:rsidR="00DF04FD">
        <w:rPr>
          <w:rFonts w:ascii="Arial" w:hAnsi="Arial" w:cs="Arial"/>
          <w:sz w:val="22"/>
        </w:rPr>
        <w:t xml:space="preserve"> </w:t>
      </w:r>
      <w:r w:rsidR="00F332B3">
        <w:rPr>
          <w:rFonts w:ascii="Arial" w:hAnsi="Arial" w:cs="Arial"/>
          <w:sz w:val="22"/>
        </w:rPr>
        <w:t xml:space="preserve">and Management agreed to implement </w:t>
      </w:r>
      <w:r w:rsidR="00DF04FD">
        <w:rPr>
          <w:rFonts w:ascii="Arial" w:hAnsi="Arial" w:cs="Arial"/>
          <w:sz w:val="22"/>
        </w:rPr>
        <w:t>the following measures:</w:t>
      </w:r>
    </w:p>
    <w:p w:rsidR="00DF04FD" w:rsidRDefault="00DF04FD" w:rsidP="00DF04FD">
      <w:pPr>
        <w:ind w:left="360"/>
        <w:rPr>
          <w:rFonts w:ascii="Arial" w:hAnsi="Arial" w:cs="Arial"/>
          <w:sz w:val="22"/>
        </w:rPr>
      </w:pPr>
    </w:p>
    <w:p w:rsidR="00DF04FD" w:rsidRDefault="00DF04FD" w:rsidP="00DF04FD">
      <w:pPr>
        <w:pStyle w:val="ListParagraph"/>
        <w:numPr>
          <w:ilvl w:val="0"/>
          <w:numId w:val="29"/>
        </w:numPr>
        <w:rPr>
          <w:rFonts w:ascii="Arial" w:hAnsi="Arial" w:cs="Arial"/>
          <w:sz w:val="22"/>
        </w:rPr>
      </w:pPr>
      <w:r>
        <w:rPr>
          <w:rFonts w:ascii="Arial" w:hAnsi="Arial" w:cs="Arial"/>
          <w:sz w:val="22"/>
        </w:rPr>
        <w:lastRenderedPageBreak/>
        <w:t>Intensify efforts to locate and communicate with the former personnel to convey Management’s determination to collect the amounts due from them.  Priority should be given to those with substantial balances specifically those that were issued Notices of Disallowances.  It is also suggested that the Office of the Government Corporate Counsel (OGCC) be consulted on what possible legal remedy, if any, can be employed to address this issue.</w:t>
      </w:r>
    </w:p>
    <w:p w:rsidR="00DF04FD" w:rsidRPr="00533E39" w:rsidRDefault="00DF04FD" w:rsidP="00DF04FD">
      <w:pPr>
        <w:ind w:left="720"/>
        <w:rPr>
          <w:rFonts w:ascii="Arial" w:hAnsi="Arial" w:cs="Arial"/>
          <w:sz w:val="22"/>
        </w:rPr>
      </w:pPr>
    </w:p>
    <w:p w:rsidR="00DF04FD" w:rsidRPr="00676187" w:rsidRDefault="00DF04FD" w:rsidP="00DF04FD">
      <w:pPr>
        <w:pStyle w:val="ListParagraph"/>
        <w:numPr>
          <w:ilvl w:val="0"/>
          <w:numId w:val="29"/>
        </w:numPr>
        <w:rPr>
          <w:rFonts w:ascii="Arial" w:hAnsi="Arial" w:cs="Arial"/>
          <w:sz w:val="22"/>
        </w:rPr>
      </w:pPr>
      <w:r>
        <w:rPr>
          <w:rFonts w:ascii="Arial" w:hAnsi="Arial" w:cs="Arial"/>
          <w:sz w:val="22"/>
        </w:rPr>
        <w:t>As for the very minimal amounts, Management may wish to refer to COA Circular No. 93-404 dated October 18, 1993 for the appropriate procedures on requesting for the write-off of receivables should the Corporation consider this option.</w:t>
      </w:r>
    </w:p>
    <w:p w:rsidR="00037A4B" w:rsidRPr="00037A4B" w:rsidRDefault="00037A4B" w:rsidP="00037A4B">
      <w:pPr>
        <w:ind w:left="720"/>
        <w:rPr>
          <w:rFonts w:ascii="Arial" w:hAnsi="Arial" w:cs="Arial"/>
          <w:sz w:val="22"/>
          <w:szCs w:val="22"/>
        </w:rPr>
      </w:pPr>
      <w:r>
        <w:rPr>
          <w:rFonts w:ascii="Arial" w:hAnsi="Arial" w:cs="Arial"/>
          <w:sz w:val="22"/>
          <w:szCs w:val="22"/>
        </w:rPr>
        <w:t xml:space="preserve"> </w:t>
      </w:r>
    </w:p>
    <w:p w:rsidR="00047BD0" w:rsidRPr="00037A4B" w:rsidRDefault="00047BD0" w:rsidP="005E23B2">
      <w:pPr>
        <w:ind w:left="720"/>
        <w:rPr>
          <w:rFonts w:ascii="Arial" w:hAnsi="Arial" w:cs="Arial"/>
          <w:b/>
          <w:sz w:val="22"/>
          <w:szCs w:val="22"/>
        </w:rPr>
      </w:pPr>
    </w:p>
    <w:p w:rsidR="008A695E" w:rsidRPr="008F4840" w:rsidRDefault="00526D22" w:rsidP="008F4840">
      <w:pPr>
        <w:pStyle w:val="ListParagraph"/>
        <w:numPr>
          <w:ilvl w:val="0"/>
          <w:numId w:val="10"/>
        </w:numPr>
        <w:rPr>
          <w:rFonts w:ascii="Arial" w:hAnsi="Arial" w:cs="Arial"/>
          <w:b/>
          <w:sz w:val="22"/>
          <w:szCs w:val="22"/>
        </w:rPr>
      </w:pPr>
      <w:r>
        <w:rPr>
          <w:rFonts w:ascii="Arial" w:hAnsi="Arial" w:cs="Arial"/>
          <w:b/>
          <w:sz w:val="22"/>
          <w:szCs w:val="22"/>
        </w:rPr>
        <w:t>The recording of accruals and payments of liabilities to the Commission on Audit (COA) and OGCC representing assessments for cost of audit and legal services, respectively, are not updated.</w:t>
      </w:r>
    </w:p>
    <w:p w:rsidR="002D077C" w:rsidRDefault="002D077C" w:rsidP="002D077C">
      <w:pPr>
        <w:rPr>
          <w:rFonts w:ascii="Arial" w:hAnsi="Arial" w:cs="Arial"/>
          <w:sz w:val="22"/>
          <w:szCs w:val="22"/>
        </w:rPr>
      </w:pPr>
    </w:p>
    <w:p w:rsidR="00526D22" w:rsidRPr="0076049E" w:rsidRDefault="00526D22" w:rsidP="00526D22">
      <w:pPr>
        <w:ind w:left="360"/>
        <w:rPr>
          <w:rFonts w:ascii="Arial" w:hAnsi="Arial" w:cs="Arial"/>
          <w:sz w:val="22"/>
        </w:rPr>
      </w:pPr>
      <w:r>
        <w:rPr>
          <w:rFonts w:ascii="Arial" w:hAnsi="Arial" w:cs="Arial"/>
          <w:sz w:val="22"/>
        </w:rPr>
        <w:t xml:space="preserve">During our audit of CY 2013, we stated that our verification of the </w:t>
      </w:r>
      <w:r>
        <w:rPr>
          <w:rFonts w:ascii="Arial" w:hAnsi="Arial" w:cs="Arial"/>
          <w:sz w:val="22"/>
          <w:szCs w:val="22"/>
        </w:rPr>
        <w:t>Accrued Liabilities account showed that out of the P11.852 million recorded COA assessments, only P2.400 million w</w:t>
      </w:r>
      <w:r w:rsidR="004D2A39">
        <w:rPr>
          <w:rFonts w:ascii="Arial" w:hAnsi="Arial" w:cs="Arial"/>
          <w:sz w:val="22"/>
          <w:szCs w:val="22"/>
        </w:rPr>
        <w:t>as</w:t>
      </w:r>
      <w:r>
        <w:rPr>
          <w:rFonts w:ascii="Arial" w:hAnsi="Arial" w:cs="Arial"/>
          <w:sz w:val="22"/>
          <w:szCs w:val="22"/>
        </w:rPr>
        <w:t xml:space="preserve"> paid, and that only P1.056 million out of P3.440 million recorded OGCC assessments ha</w:t>
      </w:r>
      <w:r w:rsidR="004D2A39">
        <w:rPr>
          <w:rFonts w:ascii="Arial" w:hAnsi="Arial" w:cs="Arial"/>
          <w:sz w:val="22"/>
          <w:szCs w:val="22"/>
        </w:rPr>
        <w:t>s</w:t>
      </w:r>
      <w:r>
        <w:rPr>
          <w:rFonts w:ascii="Arial" w:hAnsi="Arial" w:cs="Arial"/>
          <w:sz w:val="22"/>
          <w:szCs w:val="22"/>
        </w:rPr>
        <w:t xml:space="preserve"> been settled.  Further, it was stressed that no accruals for COA cost of audit services were taken up in the books for the period 2007 to 2013.  The table below was presented to support the observation.</w:t>
      </w:r>
    </w:p>
    <w:tbl>
      <w:tblPr>
        <w:tblpPr w:leftFromText="180" w:rightFromText="180" w:vertAnchor="text" w:horzAnchor="margin" w:tblpXSpec="right" w:tblpY="48"/>
        <w:tblW w:w="0" w:type="auto"/>
        <w:tblLook w:val="04A0" w:firstRow="1" w:lastRow="0" w:firstColumn="1" w:lastColumn="0" w:noHBand="0" w:noVBand="1"/>
      </w:tblPr>
      <w:tblGrid>
        <w:gridCol w:w="3690"/>
        <w:gridCol w:w="2250"/>
        <w:gridCol w:w="2610"/>
      </w:tblGrid>
      <w:tr w:rsidR="00526D22" w:rsidRPr="003D4AA7" w:rsidTr="00526D22">
        <w:tc>
          <w:tcPr>
            <w:tcW w:w="3690" w:type="dxa"/>
            <w:tcBorders>
              <w:bottom w:val="single" w:sz="4" w:space="0" w:color="auto"/>
            </w:tcBorders>
          </w:tcPr>
          <w:p w:rsidR="00526D22" w:rsidRDefault="00526D22" w:rsidP="00526D22">
            <w:pPr>
              <w:rPr>
                <w:rFonts w:ascii="Arial" w:hAnsi="Arial" w:cs="Arial"/>
                <w:sz w:val="22"/>
                <w:szCs w:val="22"/>
              </w:rPr>
            </w:pPr>
          </w:p>
          <w:p w:rsidR="00526D22" w:rsidRPr="003D4AA7" w:rsidRDefault="00526D22" w:rsidP="00526D22">
            <w:pPr>
              <w:rPr>
                <w:rFonts w:ascii="Arial" w:hAnsi="Arial" w:cs="Arial"/>
                <w:sz w:val="22"/>
                <w:szCs w:val="22"/>
              </w:rPr>
            </w:pPr>
          </w:p>
        </w:tc>
        <w:tc>
          <w:tcPr>
            <w:tcW w:w="2250" w:type="dxa"/>
            <w:tcBorders>
              <w:bottom w:val="single" w:sz="4" w:space="0" w:color="auto"/>
            </w:tcBorders>
          </w:tcPr>
          <w:p w:rsidR="00526D22" w:rsidRDefault="00526D22" w:rsidP="00526D22">
            <w:pPr>
              <w:jc w:val="center"/>
              <w:rPr>
                <w:rFonts w:ascii="Arial" w:hAnsi="Arial" w:cs="Arial"/>
                <w:b/>
                <w:sz w:val="22"/>
                <w:szCs w:val="22"/>
              </w:rPr>
            </w:pPr>
          </w:p>
          <w:p w:rsidR="00526D22" w:rsidRPr="003D4AA7" w:rsidRDefault="00526D22" w:rsidP="00526D22">
            <w:pPr>
              <w:jc w:val="center"/>
              <w:rPr>
                <w:rFonts w:ascii="Arial" w:hAnsi="Arial" w:cs="Arial"/>
                <w:b/>
                <w:sz w:val="22"/>
                <w:szCs w:val="22"/>
              </w:rPr>
            </w:pPr>
            <w:r>
              <w:rPr>
                <w:rFonts w:ascii="Arial" w:hAnsi="Arial" w:cs="Arial"/>
                <w:b/>
                <w:sz w:val="22"/>
                <w:szCs w:val="22"/>
              </w:rPr>
              <w:t xml:space="preserve">       </w:t>
            </w:r>
            <w:r w:rsidRPr="003D4AA7">
              <w:rPr>
                <w:rFonts w:ascii="Arial" w:hAnsi="Arial" w:cs="Arial"/>
                <w:b/>
                <w:sz w:val="22"/>
                <w:szCs w:val="22"/>
              </w:rPr>
              <w:t>COA</w:t>
            </w:r>
          </w:p>
        </w:tc>
        <w:tc>
          <w:tcPr>
            <w:tcW w:w="2610" w:type="dxa"/>
            <w:tcBorders>
              <w:bottom w:val="single" w:sz="4" w:space="0" w:color="auto"/>
            </w:tcBorders>
          </w:tcPr>
          <w:p w:rsidR="00526D22" w:rsidRDefault="00526D22" w:rsidP="00526D22">
            <w:pPr>
              <w:jc w:val="center"/>
              <w:rPr>
                <w:rFonts w:ascii="Arial" w:hAnsi="Arial" w:cs="Arial"/>
                <w:b/>
                <w:sz w:val="22"/>
                <w:szCs w:val="22"/>
              </w:rPr>
            </w:pPr>
          </w:p>
          <w:p w:rsidR="00526D22" w:rsidRPr="003D4AA7" w:rsidRDefault="00526D22" w:rsidP="00526D22">
            <w:pPr>
              <w:jc w:val="center"/>
              <w:rPr>
                <w:rFonts w:ascii="Arial" w:hAnsi="Arial" w:cs="Arial"/>
                <w:b/>
                <w:sz w:val="22"/>
                <w:szCs w:val="22"/>
              </w:rPr>
            </w:pPr>
            <w:r>
              <w:rPr>
                <w:rFonts w:ascii="Arial" w:hAnsi="Arial" w:cs="Arial"/>
                <w:b/>
                <w:sz w:val="22"/>
                <w:szCs w:val="22"/>
              </w:rPr>
              <w:t xml:space="preserve">          </w:t>
            </w:r>
            <w:r w:rsidRPr="003D4AA7">
              <w:rPr>
                <w:rFonts w:ascii="Arial" w:hAnsi="Arial" w:cs="Arial"/>
                <w:b/>
                <w:sz w:val="22"/>
                <w:szCs w:val="22"/>
              </w:rPr>
              <w:t>OGCC</w:t>
            </w:r>
          </w:p>
        </w:tc>
      </w:tr>
      <w:tr w:rsidR="00526D22" w:rsidRPr="003D4AA7" w:rsidTr="00526D22">
        <w:tc>
          <w:tcPr>
            <w:tcW w:w="3690" w:type="dxa"/>
            <w:tcBorders>
              <w:top w:val="single" w:sz="4" w:space="0" w:color="auto"/>
            </w:tcBorders>
          </w:tcPr>
          <w:p w:rsidR="00526D22" w:rsidRPr="003D4AA7" w:rsidRDefault="00526D22" w:rsidP="00526D22">
            <w:pPr>
              <w:rPr>
                <w:rFonts w:ascii="Arial" w:hAnsi="Arial" w:cs="Arial"/>
                <w:sz w:val="22"/>
                <w:szCs w:val="22"/>
              </w:rPr>
            </w:pPr>
            <w:r w:rsidRPr="003D4AA7">
              <w:rPr>
                <w:rFonts w:ascii="Arial" w:hAnsi="Arial" w:cs="Arial"/>
                <w:sz w:val="22"/>
                <w:szCs w:val="22"/>
              </w:rPr>
              <w:t>Beg</w:t>
            </w:r>
            <w:r>
              <w:rPr>
                <w:rFonts w:ascii="Arial" w:hAnsi="Arial" w:cs="Arial"/>
                <w:sz w:val="22"/>
                <w:szCs w:val="22"/>
              </w:rPr>
              <w:t>.</w:t>
            </w:r>
            <w:r w:rsidRPr="003D4AA7">
              <w:rPr>
                <w:rFonts w:ascii="Arial" w:hAnsi="Arial" w:cs="Arial"/>
                <w:sz w:val="22"/>
                <w:szCs w:val="22"/>
              </w:rPr>
              <w:t xml:space="preserve"> </w:t>
            </w:r>
            <w:r>
              <w:rPr>
                <w:rFonts w:ascii="Arial" w:hAnsi="Arial" w:cs="Arial"/>
                <w:sz w:val="22"/>
                <w:szCs w:val="22"/>
              </w:rPr>
              <w:t>b</w:t>
            </w:r>
            <w:r w:rsidRPr="003D4AA7">
              <w:rPr>
                <w:rFonts w:ascii="Arial" w:hAnsi="Arial" w:cs="Arial"/>
                <w:sz w:val="22"/>
                <w:szCs w:val="22"/>
              </w:rPr>
              <w:t>al</w:t>
            </w:r>
            <w:r>
              <w:rPr>
                <w:rFonts w:ascii="Arial" w:hAnsi="Arial" w:cs="Arial"/>
                <w:sz w:val="22"/>
                <w:szCs w:val="22"/>
              </w:rPr>
              <w:t>ance,</w:t>
            </w:r>
            <w:r w:rsidRPr="003D4AA7">
              <w:rPr>
                <w:rFonts w:ascii="Arial" w:hAnsi="Arial" w:cs="Arial"/>
                <w:sz w:val="22"/>
                <w:szCs w:val="22"/>
              </w:rPr>
              <w:t xml:space="preserve"> </w:t>
            </w:r>
            <w:r>
              <w:rPr>
                <w:rFonts w:ascii="Arial" w:hAnsi="Arial" w:cs="Arial"/>
                <w:sz w:val="22"/>
                <w:szCs w:val="22"/>
              </w:rPr>
              <w:t xml:space="preserve">January 1, 2004      </w:t>
            </w:r>
          </w:p>
        </w:tc>
        <w:tc>
          <w:tcPr>
            <w:tcW w:w="2250" w:type="dxa"/>
            <w:tcBorders>
              <w:top w:val="single" w:sz="4" w:space="0" w:color="auto"/>
            </w:tcBorders>
          </w:tcPr>
          <w:p w:rsidR="00526D22" w:rsidRPr="003D4AA7" w:rsidRDefault="00526D22" w:rsidP="00526D22">
            <w:pPr>
              <w:jc w:val="right"/>
              <w:rPr>
                <w:rFonts w:ascii="Arial" w:hAnsi="Arial" w:cs="Arial"/>
                <w:sz w:val="22"/>
                <w:szCs w:val="22"/>
              </w:rPr>
            </w:pPr>
            <w:r>
              <w:rPr>
                <w:rFonts w:ascii="Arial" w:hAnsi="Arial" w:cs="Arial"/>
                <w:sz w:val="22"/>
                <w:szCs w:val="22"/>
              </w:rPr>
              <w:t xml:space="preserve"> </w:t>
            </w:r>
            <w:r w:rsidRPr="003D4AA7">
              <w:rPr>
                <w:rFonts w:ascii="Arial" w:hAnsi="Arial" w:cs="Arial"/>
                <w:sz w:val="22"/>
                <w:szCs w:val="22"/>
              </w:rPr>
              <w:t>8,618,668.13</w:t>
            </w:r>
          </w:p>
        </w:tc>
        <w:tc>
          <w:tcPr>
            <w:tcW w:w="2610" w:type="dxa"/>
            <w:tcBorders>
              <w:top w:val="single" w:sz="4" w:space="0" w:color="auto"/>
            </w:tcBorders>
          </w:tcPr>
          <w:p w:rsidR="00526D22" w:rsidRPr="003D4AA7" w:rsidRDefault="00526D22" w:rsidP="00526D22">
            <w:pPr>
              <w:jc w:val="right"/>
              <w:rPr>
                <w:rFonts w:ascii="Arial" w:hAnsi="Arial" w:cs="Arial"/>
                <w:sz w:val="22"/>
                <w:szCs w:val="22"/>
              </w:rPr>
            </w:pPr>
            <w:r w:rsidRPr="003D4AA7">
              <w:rPr>
                <w:rFonts w:ascii="Arial" w:hAnsi="Arial" w:cs="Arial"/>
                <w:sz w:val="22"/>
                <w:szCs w:val="22"/>
              </w:rPr>
              <w:t>2,525,000.00</w:t>
            </w:r>
          </w:p>
        </w:tc>
      </w:tr>
      <w:tr w:rsidR="00526D22" w:rsidRPr="003D4AA7" w:rsidTr="00526D22">
        <w:tc>
          <w:tcPr>
            <w:tcW w:w="3690" w:type="dxa"/>
          </w:tcPr>
          <w:p w:rsidR="00526D22" w:rsidRPr="003D4AA7" w:rsidRDefault="00526D22" w:rsidP="00526D22">
            <w:pPr>
              <w:rPr>
                <w:rFonts w:ascii="Arial" w:hAnsi="Arial" w:cs="Arial"/>
                <w:sz w:val="22"/>
                <w:szCs w:val="22"/>
              </w:rPr>
            </w:pPr>
            <w:r w:rsidRPr="003D4AA7">
              <w:rPr>
                <w:rFonts w:ascii="Arial" w:hAnsi="Arial" w:cs="Arial"/>
                <w:sz w:val="22"/>
                <w:szCs w:val="22"/>
              </w:rPr>
              <w:t>Accrual</w:t>
            </w:r>
            <w:r>
              <w:rPr>
                <w:rFonts w:ascii="Arial" w:hAnsi="Arial" w:cs="Arial"/>
                <w:sz w:val="22"/>
                <w:szCs w:val="22"/>
              </w:rPr>
              <w:t>s</w:t>
            </w:r>
            <w:r w:rsidRPr="003D4AA7">
              <w:rPr>
                <w:rFonts w:ascii="Arial" w:hAnsi="Arial" w:cs="Arial"/>
                <w:sz w:val="22"/>
                <w:szCs w:val="22"/>
              </w:rPr>
              <w:t xml:space="preserve">  </w:t>
            </w:r>
            <w:r>
              <w:rPr>
                <w:rFonts w:ascii="Arial" w:hAnsi="Arial" w:cs="Arial"/>
                <w:sz w:val="22"/>
                <w:szCs w:val="22"/>
              </w:rPr>
              <w:t>(</w:t>
            </w:r>
            <w:r w:rsidRPr="003D4AA7">
              <w:rPr>
                <w:rFonts w:ascii="Arial" w:hAnsi="Arial" w:cs="Arial"/>
                <w:sz w:val="22"/>
                <w:szCs w:val="22"/>
              </w:rPr>
              <w:t>2005-2007</w:t>
            </w:r>
            <w:r>
              <w:rPr>
                <w:rFonts w:ascii="Arial" w:hAnsi="Arial" w:cs="Arial"/>
                <w:sz w:val="22"/>
                <w:szCs w:val="22"/>
              </w:rPr>
              <w:t>)</w:t>
            </w:r>
          </w:p>
        </w:tc>
        <w:tc>
          <w:tcPr>
            <w:tcW w:w="2250" w:type="dxa"/>
          </w:tcPr>
          <w:p w:rsidR="00526D22" w:rsidRPr="003D4AA7" w:rsidRDefault="00526D22" w:rsidP="00526D22">
            <w:pPr>
              <w:jc w:val="right"/>
              <w:rPr>
                <w:rFonts w:ascii="Arial" w:hAnsi="Arial" w:cs="Arial"/>
                <w:sz w:val="22"/>
                <w:szCs w:val="22"/>
              </w:rPr>
            </w:pPr>
            <w:r w:rsidRPr="003D4AA7">
              <w:rPr>
                <w:rFonts w:ascii="Arial" w:hAnsi="Arial" w:cs="Arial"/>
                <w:sz w:val="22"/>
                <w:szCs w:val="22"/>
              </w:rPr>
              <w:t>3,233,278.96</w:t>
            </w:r>
          </w:p>
        </w:tc>
        <w:tc>
          <w:tcPr>
            <w:tcW w:w="2610" w:type="dxa"/>
          </w:tcPr>
          <w:p w:rsidR="00526D22" w:rsidRPr="003D4AA7" w:rsidRDefault="00526D22" w:rsidP="00526D22">
            <w:pPr>
              <w:jc w:val="right"/>
              <w:rPr>
                <w:rFonts w:ascii="Arial" w:hAnsi="Arial" w:cs="Arial"/>
                <w:sz w:val="22"/>
                <w:szCs w:val="22"/>
              </w:rPr>
            </w:pPr>
            <w:r w:rsidRPr="003D4AA7">
              <w:rPr>
                <w:rFonts w:ascii="Arial" w:hAnsi="Arial" w:cs="Arial"/>
                <w:sz w:val="22"/>
                <w:szCs w:val="22"/>
              </w:rPr>
              <w:t>625,000.00</w:t>
            </w:r>
          </w:p>
        </w:tc>
      </w:tr>
      <w:tr w:rsidR="00526D22" w:rsidRPr="003D4AA7" w:rsidTr="00526D22">
        <w:tc>
          <w:tcPr>
            <w:tcW w:w="3690" w:type="dxa"/>
          </w:tcPr>
          <w:p w:rsidR="00526D22" w:rsidRPr="003D4AA7" w:rsidRDefault="00526D22" w:rsidP="00526D22">
            <w:pPr>
              <w:rPr>
                <w:rFonts w:ascii="Arial" w:hAnsi="Arial" w:cs="Arial"/>
                <w:sz w:val="22"/>
                <w:szCs w:val="22"/>
              </w:rPr>
            </w:pPr>
            <w:r w:rsidRPr="003D4AA7">
              <w:rPr>
                <w:rFonts w:ascii="Arial" w:hAnsi="Arial" w:cs="Arial"/>
                <w:sz w:val="22"/>
                <w:szCs w:val="22"/>
              </w:rPr>
              <w:t xml:space="preserve">Accruals  </w:t>
            </w:r>
            <w:r>
              <w:rPr>
                <w:rFonts w:ascii="Arial" w:hAnsi="Arial" w:cs="Arial"/>
                <w:sz w:val="22"/>
                <w:szCs w:val="22"/>
              </w:rPr>
              <w:t>(</w:t>
            </w:r>
            <w:r w:rsidRPr="003D4AA7">
              <w:rPr>
                <w:rFonts w:ascii="Arial" w:hAnsi="Arial" w:cs="Arial"/>
                <w:sz w:val="22"/>
                <w:szCs w:val="22"/>
              </w:rPr>
              <w:t>2007-2013</w:t>
            </w:r>
            <w:r>
              <w:rPr>
                <w:rFonts w:ascii="Arial" w:hAnsi="Arial" w:cs="Arial"/>
                <w:sz w:val="22"/>
                <w:szCs w:val="22"/>
              </w:rPr>
              <w:t>)</w:t>
            </w:r>
          </w:p>
        </w:tc>
        <w:tc>
          <w:tcPr>
            <w:tcW w:w="2250" w:type="dxa"/>
          </w:tcPr>
          <w:p w:rsidR="00526D22" w:rsidRPr="003D4AA7" w:rsidRDefault="00526D22" w:rsidP="00526D22">
            <w:pPr>
              <w:jc w:val="right"/>
              <w:rPr>
                <w:rFonts w:ascii="Arial" w:hAnsi="Arial" w:cs="Arial"/>
                <w:sz w:val="22"/>
                <w:szCs w:val="22"/>
              </w:rPr>
            </w:pPr>
            <w:r>
              <w:rPr>
                <w:rFonts w:ascii="Arial" w:hAnsi="Arial" w:cs="Arial"/>
                <w:sz w:val="22"/>
                <w:szCs w:val="22"/>
              </w:rPr>
              <w:t>0</w:t>
            </w:r>
          </w:p>
        </w:tc>
        <w:tc>
          <w:tcPr>
            <w:tcW w:w="2610" w:type="dxa"/>
          </w:tcPr>
          <w:p w:rsidR="00526D22" w:rsidRPr="003D4AA7" w:rsidRDefault="00526D22" w:rsidP="00526D22">
            <w:pPr>
              <w:jc w:val="right"/>
              <w:rPr>
                <w:rFonts w:ascii="Arial" w:hAnsi="Arial" w:cs="Arial"/>
                <w:sz w:val="22"/>
                <w:szCs w:val="22"/>
              </w:rPr>
            </w:pPr>
            <w:r w:rsidRPr="003D4AA7">
              <w:rPr>
                <w:rFonts w:ascii="Arial" w:hAnsi="Arial" w:cs="Arial"/>
                <w:sz w:val="22"/>
                <w:szCs w:val="22"/>
              </w:rPr>
              <w:t>290,000.00</w:t>
            </w:r>
          </w:p>
        </w:tc>
      </w:tr>
      <w:tr w:rsidR="00526D22" w:rsidRPr="003D4AA7" w:rsidTr="00526D22">
        <w:tc>
          <w:tcPr>
            <w:tcW w:w="3690" w:type="dxa"/>
          </w:tcPr>
          <w:p w:rsidR="00526D22" w:rsidRPr="003D4AA7" w:rsidRDefault="00526D22" w:rsidP="00526D22">
            <w:pPr>
              <w:rPr>
                <w:rFonts w:ascii="Arial" w:hAnsi="Arial" w:cs="Arial"/>
                <w:sz w:val="22"/>
                <w:szCs w:val="22"/>
              </w:rPr>
            </w:pPr>
            <w:r w:rsidRPr="003D4AA7">
              <w:rPr>
                <w:rFonts w:ascii="Arial" w:hAnsi="Arial" w:cs="Arial"/>
                <w:sz w:val="22"/>
                <w:szCs w:val="22"/>
              </w:rPr>
              <w:t>Adjustments</w:t>
            </w:r>
          </w:p>
        </w:tc>
        <w:tc>
          <w:tcPr>
            <w:tcW w:w="2250" w:type="dxa"/>
          </w:tcPr>
          <w:p w:rsidR="00526D22" w:rsidRPr="003D4AA7" w:rsidRDefault="00526D22" w:rsidP="00526D22">
            <w:pPr>
              <w:ind w:right="-108"/>
              <w:jc w:val="right"/>
              <w:rPr>
                <w:rFonts w:ascii="Arial" w:hAnsi="Arial" w:cs="Arial"/>
                <w:sz w:val="22"/>
                <w:szCs w:val="22"/>
              </w:rPr>
            </w:pPr>
            <w:r>
              <w:rPr>
                <w:rFonts w:ascii="Arial" w:hAnsi="Arial" w:cs="Arial"/>
                <w:sz w:val="22"/>
                <w:szCs w:val="22"/>
              </w:rPr>
              <w:t xml:space="preserve">         </w:t>
            </w:r>
            <w:r w:rsidRPr="003D4AA7">
              <w:rPr>
                <w:rFonts w:ascii="Arial" w:hAnsi="Arial" w:cs="Arial"/>
                <w:sz w:val="22"/>
                <w:szCs w:val="22"/>
              </w:rPr>
              <w:t>(947,671.36)</w:t>
            </w:r>
          </w:p>
        </w:tc>
        <w:tc>
          <w:tcPr>
            <w:tcW w:w="2610" w:type="dxa"/>
          </w:tcPr>
          <w:p w:rsidR="00526D22" w:rsidRPr="003D4AA7" w:rsidRDefault="00526D22" w:rsidP="00526D22">
            <w:pPr>
              <w:jc w:val="right"/>
              <w:rPr>
                <w:rFonts w:ascii="Arial" w:hAnsi="Arial" w:cs="Arial"/>
                <w:sz w:val="22"/>
                <w:szCs w:val="22"/>
              </w:rPr>
            </w:pPr>
            <w:r>
              <w:rPr>
                <w:rFonts w:ascii="Arial" w:hAnsi="Arial" w:cs="Arial"/>
                <w:sz w:val="22"/>
                <w:szCs w:val="22"/>
              </w:rPr>
              <w:t>0</w:t>
            </w:r>
          </w:p>
        </w:tc>
      </w:tr>
      <w:tr w:rsidR="00526D22" w:rsidRPr="003D4AA7" w:rsidTr="00526D22">
        <w:tc>
          <w:tcPr>
            <w:tcW w:w="3690" w:type="dxa"/>
            <w:tcBorders>
              <w:bottom w:val="single" w:sz="4" w:space="0" w:color="auto"/>
            </w:tcBorders>
          </w:tcPr>
          <w:p w:rsidR="00526D22" w:rsidRPr="003D4AA7" w:rsidRDefault="00526D22" w:rsidP="00526D22">
            <w:pPr>
              <w:rPr>
                <w:rFonts w:ascii="Arial" w:hAnsi="Arial" w:cs="Arial"/>
                <w:sz w:val="22"/>
                <w:szCs w:val="22"/>
              </w:rPr>
            </w:pPr>
            <w:r w:rsidRPr="003D4AA7">
              <w:rPr>
                <w:rFonts w:ascii="Arial" w:hAnsi="Arial" w:cs="Arial"/>
                <w:sz w:val="22"/>
                <w:szCs w:val="22"/>
              </w:rPr>
              <w:t>Payments</w:t>
            </w:r>
            <w:r>
              <w:rPr>
                <w:rFonts w:ascii="Arial" w:hAnsi="Arial" w:cs="Arial"/>
                <w:sz w:val="22"/>
                <w:szCs w:val="22"/>
              </w:rPr>
              <w:t xml:space="preserve"> (2006-2013)</w:t>
            </w:r>
          </w:p>
        </w:tc>
        <w:tc>
          <w:tcPr>
            <w:tcW w:w="2250" w:type="dxa"/>
            <w:tcBorders>
              <w:bottom w:val="single" w:sz="4" w:space="0" w:color="auto"/>
            </w:tcBorders>
          </w:tcPr>
          <w:p w:rsidR="00526D22" w:rsidRPr="003D4AA7" w:rsidRDefault="00526D22" w:rsidP="00526D22">
            <w:pPr>
              <w:ind w:right="-108"/>
              <w:jc w:val="right"/>
              <w:rPr>
                <w:rFonts w:ascii="Arial" w:hAnsi="Arial" w:cs="Arial"/>
                <w:sz w:val="22"/>
                <w:szCs w:val="22"/>
              </w:rPr>
            </w:pPr>
            <w:r>
              <w:rPr>
                <w:rFonts w:ascii="Arial" w:hAnsi="Arial" w:cs="Arial"/>
                <w:sz w:val="22"/>
                <w:szCs w:val="22"/>
              </w:rPr>
              <w:t xml:space="preserve">      </w:t>
            </w:r>
            <w:r w:rsidRPr="003D4AA7">
              <w:rPr>
                <w:rFonts w:ascii="Arial" w:hAnsi="Arial" w:cs="Arial"/>
                <w:sz w:val="22"/>
                <w:szCs w:val="22"/>
              </w:rPr>
              <w:t>(2,400,000.00)</w:t>
            </w:r>
          </w:p>
        </w:tc>
        <w:tc>
          <w:tcPr>
            <w:tcW w:w="2610" w:type="dxa"/>
            <w:tcBorders>
              <w:bottom w:val="single" w:sz="4" w:space="0" w:color="auto"/>
            </w:tcBorders>
          </w:tcPr>
          <w:p w:rsidR="00526D22" w:rsidRPr="003D4AA7" w:rsidRDefault="00526D22" w:rsidP="00526D22">
            <w:pPr>
              <w:ind w:right="-198"/>
              <w:jc w:val="center"/>
              <w:rPr>
                <w:rFonts w:ascii="Arial" w:hAnsi="Arial" w:cs="Arial"/>
                <w:sz w:val="22"/>
                <w:szCs w:val="22"/>
              </w:rPr>
            </w:pPr>
            <w:r>
              <w:rPr>
                <w:rFonts w:ascii="Arial" w:hAnsi="Arial" w:cs="Arial"/>
                <w:sz w:val="22"/>
                <w:szCs w:val="22"/>
              </w:rPr>
              <w:t xml:space="preserve">                 </w:t>
            </w:r>
            <w:r w:rsidRPr="003D4AA7">
              <w:rPr>
                <w:rFonts w:ascii="Arial" w:hAnsi="Arial" w:cs="Arial"/>
                <w:sz w:val="22"/>
                <w:szCs w:val="22"/>
              </w:rPr>
              <w:t>(1,056,500.00)</w:t>
            </w:r>
          </w:p>
        </w:tc>
      </w:tr>
      <w:tr w:rsidR="00526D22" w:rsidRPr="003D4AA7" w:rsidTr="00526D22">
        <w:tc>
          <w:tcPr>
            <w:tcW w:w="3690" w:type="dxa"/>
            <w:tcBorders>
              <w:top w:val="single" w:sz="4" w:space="0" w:color="auto"/>
              <w:bottom w:val="double" w:sz="4" w:space="0" w:color="auto"/>
            </w:tcBorders>
          </w:tcPr>
          <w:p w:rsidR="00526D22" w:rsidRDefault="00526D22" w:rsidP="00526D22">
            <w:pPr>
              <w:rPr>
                <w:rFonts w:ascii="Arial" w:hAnsi="Arial" w:cs="Arial"/>
                <w:b/>
                <w:sz w:val="22"/>
                <w:szCs w:val="22"/>
              </w:rPr>
            </w:pPr>
          </w:p>
          <w:p w:rsidR="00526D22" w:rsidRPr="003D4AA7" w:rsidRDefault="00526D22" w:rsidP="00526D22">
            <w:pPr>
              <w:rPr>
                <w:rFonts w:ascii="Arial" w:hAnsi="Arial" w:cs="Arial"/>
                <w:b/>
                <w:sz w:val="22"/>
                <w:szCs w:val="22"/>
              </w:rPr>
            </w:pPr>
            <w:r w:rsidRPr="003D4AA7">
              <w:rPr>
                <w:rFonts w:ascii="Arial" w:hAnsi="Arial" w:cs="Arial"/>
                <w:b/>
                <w:sz w:val="22"/>
                <w:szCs w:val="22"/>
              </w:rPr>
              <w:t xml:space="preserve">Ending </w:t>
            </w:r>
            <w:r>
              <w:rPr>
                <w:rFonts w:ascii="Arial" w:hAnsi="Arial" w:cs="Arial"/>
                <w:b/>
                <w:sz w:val="22"/>
                <w:szCs w:val="22"/>
              </w:rPr>
              <w:t>b</w:t>
            </w:r>
            <w:r w:rsidRPr="003D4AA7">
              <w:rPr>
                <w:rFonts w:ascii="Arial" w:hAnsi="Arial" w:cs="Arial"/>
                <w:b/>
                <w:sz w:val="22"/>
                <w:szCs w:val="22"/>
              </w:rPr>
              <w:t>al</w:t>
            </w:r>
            <w:r>
              <w:rPr>
                <w:rFonts w:ascii="Arial" w:hAnsi="Arial" w:cs="Arial"/>
                <w:b/>
                <w:sz w:val="22"/>
                <w:szCs w:val="22"/>
              </w:rPr>
              <w:t>ance, 12/31/2013</w:t>
            </w:r>
          </w:p>
        </w:tc>
        <w:tc>
          <w:tcPr>
            <w:tcW w:w="2250" w:type="dxa"/>
            <w:tcBorders>
              <w:top w:val="single" w:sz="4" w:space="0" w:color="auto"/>
              <w:bottom w:val="double" w:sz="4" w:space="0" w:color="auto"/>
            </w:tcBorders>
          </w:tcPr>
          <w:p w:rsidR="00526D22" w:rsidRDefault="00526D22" w:rsidP="00526D22">
            <w:pPr>
              <w:jc w:val="right"/>
              <w:rPr>
                <w:rFonts w:ascii="Arial" w:hAnsi="Arial" w:cs="Arial"/>
                <w:b/>
                <w:sz w:val="22"/>
                <w:szCs w:val="22"/>
              </w:rPr>
            </w:pPr>
          </w:p>
          <w:p w:rsidR="00526D22" w:rsidRPr="003D4AA7" w:rsidRDefault="00526D22" w:rsidP="00526D22">
            <w:pPr>
              <w:jc w:val="right"/>
              <w:rPr>
                <w:rFonts w:ascii="Arial" w:hAnsi="Arial" w:cs="Arial"/>
                <w:b/>
                <w:sz w:val="22"/>
                <w:szCs w:val="22"/>
              </w:rPr>
            </w:pPr>
            <w:r w:rsidRPr="003D4AA7">
              <w:rPr>
                <w:rFonts w:ascii="Arial" w:hAnsi="Arial" w:cs="Arial"/>
                <w:b/>
                <w:sz w:val="22"/>
                <w:szCs w:val="22"/>
              </w:rPr>
              <w:t>8,504,275.73</w:t>
            </w:r>
          </w:p>
        </w:tc>
        <w:tc>
          <w:tcPr>
            <w:tcW w:w="2610" w:type="dxa"/>
            <w:tcBorders>
              <w:top w:val="single" w:sz="4" w:space="0" w:color="auto"/>
              <w:bottom w:val="double" w:sz="4" w:space="0" w:color="auto"/>
            </w:tcBorders>
          </w:tcPr>
          <w:p w:rsidR="00526D22" w:rsidRDefault="00526D22" w:rsidP="00526D22">
            <w:pPr>
              <w:jc w:val="right"/>
              <w:rPr>
                <w:rFonts w:ascii="Arial" w:hAnsi="Arial" w:cs="Arial"/>
                <w:b/>
                <w:sz w:val="22"/>
                <w:szCs w:val="22"/>
              </w:rPr>
            </w:pPr>
          </w:p>
          <w:p w:rsidR="00526D22" w:rsidRPr="003D4AA7" w:rsidRDefault="00526D22" w:rsidP="00526D22">
            <w:pPr>
              <w:jc w:val="right"/>
              <w:rPr>
                <w:rFonts w:ascii="Arial" w:hAnsi="Arial" w:cs="Arial"/>
                <w:b/>
                <w:sz w:val="22"/>
                <w:szCs w:val="22"/>
              </w:rPr>
            </w:pPr>
            <w:r w:rsidRPr="003D4AA7">
              <w:rPr>
                <w:rFonts w:ascii="Arial" w:hAnsi="Arial" w:cs="Arial"/>
                <w:b/>
                <w:sz w:val="22"/>
                <w:szCs w:val="22"/>
              </w:rPr>
              <w:t>2,383,500.00</w:t>
            </w:r>
          </w:p>
        </w:tc>
      </w:tr>
    </w:tbl>
    <w:p w:rsidR="00526D22" w:rsidRDefault="00526D22" w:rsidP="00526D22">
      <w:pPr>
        <w:ind w:left="360"/>
        <w:rPr>
          <w:rFonts w:ascii="Arial" w:hAnsi="Arial" w:cs="Arial"/>
          <w:sz w:val="22"/>
          <w:szCs w:val="22"/>
        </w:rPr>
      </w:pPr>
    </w:p>
    <w:p w:rsidR="00526D22" w:rsidRDefault="00526D22" w:rsidP="002D077C">
      <w:pPr>
        <w:rPr>
          <w:rFonts w:ascii="Arial" w:hAnsi="Arial" w:cs="Arial"/>
          <w:sz w:val="22"/>
          <w:szCs w:val="22"/>
        </w:rPr>
      </w:pPr>
    </w:p>
    <w:p w:rsidR="00526D22" w:rsidRDefault="00526D22" w:rsidP="00526D22">
      <w:pPr>
        <w:rPr>
          <w:rFonts w:ascii="Arial" w:hAnsi="Arial" w:cs="Arial"/>
          <w:b/>
          <w:sz w:val="22"/>
          <w:u w:val="single"/>
        </w:rPr>
      </w:pPr>
    </w:p>
    <w:p w:rsidR="00526D22" w:rsidRDefault="00526D22" w:rsidP="00526D22">
      <w:pPr>
        <w:rPr>
          <w:rFonts w:ascii="Arial" w:hAnsi="Arial" w:cs="Arial"/>
          <w:sz w:val="22"/>
          <w:szCs w:val="22"/>
        </w:rPr>
      </w:pPr>
    </w:p>
    <w:p w:rsidR="00526D22" w:rsidRDefault="00526D22" w:rsidP="00526D22">
      <w:pPr>
        <w:ind w:left="360"/>
        <w:rPr>
          <w:rFonts w:ascii="Arial" w:hAnsi="Arial" w:cs="Arial"/>
          <w:sz w:val="22"/>
          <w:szCs w:val="22"/>
        </w:rPr>
      </w:pPr>
    </w:p>
    <w:p w:rsidR="00526D22" w:rsidRDefault="00526D22" w:rsidP="002D077C">
      <w:pPr>
        <w:rPr>
          <w:rFonts w:ascii="Arial" w:hAnsi="Arial" w:cs="Arial"/>
          <w:sz w:val="22"/>
          <w:szCs w:val="22"/>
        </w:rPr>
      </w:pPr>
    </w:p>
    <w:p w:rsidR="00526D22" w:rsidRDefault="00526D22" w:rsidP="002D077C">
      <w:pPr>
        <w:rPr>
          <w:rFonts w:ascii="Arial" w:hAnsi="Arial" w:cs="Arial"/>
          <w:sz w:val="22"/>
          <w:szCs w:val="22"/>
        </w:rPr>
      </w:pPr>
    </w:p>
    <w:p w:rsidR="00526D22" w:rsidRDefault="00526D22" w:rsidP="002D077C">
      <w:pPr>
        <w:rPr>
          <w:rFonts w:ascii="Arial" w:hAnsi="Arial" w:cs="Arial"/>
          <w:sz w:val="22"/>
          <w:szCs w:val="22"/>
        </w:rPr>
      </w:pPr>
    </w:p>
    <w:p w:rsidR="00526D22" w:rsidRDefault="00526D22" w:rsidP="002D077C">
      <w:pPr>
        <w:rPr>
          <w:rFonts w:ascii="Arial" w:hAnsi="Arial" w:cs="Arial"/>
          <w:sz w:val="22"/>
          <w:szCs w:val="22"/>
        </w:rPr>
      </w:pPr>
    </w:p>
    <w:p w:rsidR="00526D22" w:rsidRDefault="00526D22" w:rsidP="002D077C">
      <w:pPr>
        <w:rPr>
          <w:rFonts w:ascii="Arial" w:hAnsi="Arial" w:cs="Arial"/>
          <w:sz w:val="22"/>
          <w:szCs w:val="22"/>
        </w:rPr>
      </w:pPr>
    </w:p>
    <w:p w:rsidR="00526D22" w:rsidRDefault="00526D22" w:rsidP="002D077C">
      <w:pPr>
        <w:rPr>
          <w:rFonts w:ascii="Arial" w:hAnsi="Arial" w:cs="Arial"/>
          <w:sz w:val="22"/>
          <w:szCs w:val="22"/>
        </w:rPr>
      </w:pPr>
    </w:p>
    <w:p w:rsidR="00526D22" w:rsidRDefault="00526D22" w:rsidP="00526D22">
      <w:pPr>
        <w:ind w:left="360"/>
        <w:rPr>
          <w:rFonts w:ascii="Arial" w:hAnsi="Arial" w:cs="Arial"/>
          <w:sz w:val="22"/>
        </w:rPr>
      </w:pPr>
      <w:r>
        <w:rPr>
          <w:rFonts w:ascii="Arial" w:hAnsi="Arial" w:cs="Arial"/>
          <w:sz w:val="22"/>
        </w:rPr>
        <w:t>Balances as of December 31, 2014 remained unchanged as no further accruals were taken up nor payments made to COA and the OGCC as recommended last year.  However, updated information as of May 31, 2014 from this Commission’s Planning, Financial and Management Sector (PFMS) showed that the Corporation’s actual liability for cost of audit services amounted to P31</w:t>
      </w:r>
      <w:r w:rsidR="004D2A39">
        <w:rPr>
          <w:rFonts w:ascii="Arial" w:hAnsi="Arial" w:cs="Arial"/>
          <w:sz w:val="22"/>
        </w:rPr>
        <w:t>.335 million</w:t>
      </w:r>
      <w:r>
        <w:rPr>
          <w:rFonts w:ascii="Arial" w:hAnsi="Arial" w:cs="Arial"/>
          <w:sz w:val="22"/>
        </w:rPr>
        <w:t>, details of which are as follows:</w:t>
      </w:r>
    </w:p>
    <w:p w:rsidR="00526D22" w:rsidRDefault="00526D22" w:rsidP="00526D22">
      <w:pPr>
        <w:rPr>
          <w:rFonts w:ascii="Arial" w:hAnsi="Arial" w:cs="Arial"/>
          <w:sz w:val="22"/>
        </w:rPr>
      </w:pPr>
    </w:p>
    <w:p w:rsidR="00526D22" w:rsidRDefault="00526D22" w:rsidP="00526D22">
      <w:pPr>
        <w:rPr>
          <w:rFonts w:ascii="Arial" w:hAnsi="Arial" w:cs="Arial"/>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00"/>
        <w:gridCol w:w="1800"/>
        <w:gridCol w:w="1800"/>
      </w:tblGrid>
      <w:tr w:rsidR="00526D22" w:rsidTr="00F60FDD">
        <w:tc>
          <w:tcPr>
            <w:tcW w:w="1620" w:type="dxa"/>
          </w:tcPr>
          <w:p w:rsidR="00526D22" w:rsidRPr="00F60FDD" w:rsidRDefault="00526D22" w:rsidP="009B40BD">
            <w:pPr>
              <w:rPr>
                <w:rFonts w:ascii="Arial" w:hAnsi="Arial" w:cs="Arial"/>
                <w:sz w:val="20"/>
                <w:szCs w:val="20"/>
              </w:rPr>
            </w:pPr>
          </w:p>
          <w:p w:rsidR="00526D22" w:rsidRPr="00F60FDD" w:rsidRDefault="00526D22" w:rsidP="009B40BD">
            <w:pPr>
              <w:rPr>
                <w:rFonts w:ascii="Arial" w:hAnsi="Arial" w:cs="Arial"/>
                <w:sz w:val="20"/>
                <w:szCs w:val="20"/>
              </w:rPr>
            </w:pPr>
            <w:r w:rsidRPr="00F60FDD">
              <w:rPr>
                <w:rFonts w:ascii="Arial" w:hAnsi="Arial" w:cs="Arial"/>
                <w:sz w:val="20"/>
                <w:szCs w:val="20"/>
              </w:rPr>
              <w:t>Year Assessed</w:t>
            </w:r>
          </w:p>
        </w:tc>
        <w:tc>
          <w:tcPr>
            <w:tcW w:w="1800" w:type="dxa"/>
          </w:tcPr>
          <w:p w:rsidR="00526D22" w:rsidRPr="00F60FDD" w:rsidRDefault="00526D22" w:rsidP="00F60FDD">
            <w:pPr>
              <w:jc w:val="center"/>
              <w:rPr>
                <w:rFonts w:ascii="Arial" w:hAnsi="Arial" w:cs="Arial"/>
                <w:sz w:val="20"/>
                <w:szCs w:val="20"/>
              </w:rPr>
            </w:pPr>
            <w:r w:rsidRPr="00F60FDD">
              <w:rPr>
                <w:rFonts w:ascii="Arial" w:hAnsi="Arial" w:cs="Arial"/>
                <w:sz w:val="20"/>
                <w:szCs w:val="20"/>
              </w:rPr>
              <w:t>Assessed Cost</w:t>
            </w:r>
          </w:p>
          <w:p w:rsidR="00526D22" w:rsidRPr="00F60FDD" w:rsidRDefault="00526D22" w:rsidP="00F60FDD">
            <w:pPr>
              <w:jc w:val="center"/>
              <w:rPr>
                <w:rFonts w:ascii="Arial" w:hAnsi="Arial" w:cs="Arial"/>
                <w:sz w:val="20"/>
                <w:szCs w:val="20"/>
              </w:rPr>
            </w:pPr>
            <w:r w:rsidRPr="00F60FDD">
              <w:rPr>
                <w:rFonts w:ascii="Arial" w:hAnsi="Arial" w:cs="Arial"/>
                <w:sz w:val="20"/>
                <w:szCs w:val="20"/>
              </w:rPr>
              <w:t>Of Audit</w:t>
            </w:r>
          </w:p>
        </w:tc>
        <w:tc>
          <w:tcPr>
            <w:tcW w:w="1800" w:type="dxa"/>
          </w:tcPr>
          <w:p w:rsidR="00526D22" w:rsidRPr="00F60FDD" w:rsidRDefault="00526D22" w:rsidP="009B40BD">
            <w:pPr>
              <w:rPr>
                <w:rFonts w:ascii="Arial" w:hAnsi="Arial" w:cs="Arial"/>
                <w:sz w:val="20"/>
                <w:szCs w:val="20"/>
              </w:rPr>
            </w:pPr>
          </w:p>
          <w:p w:rsidR="00526D22" w:rsidRPr="00F60FDD" w:rsidRDefault="00526D22" w:rsidP="00F60FDD">
            <w:pPr>
              <w:jc w:val="center"/>
              <w:rPr>
                <w:rFonts w:ascii="Arial" w:hAnsi="Arial" w:cs="Arial"/>
                <w:sz w:val="20"/>
                <w:szCs w:val="20"/>
              </w:rPr>
            </w:pPr>
            <w:r w:rsidRPr="00F60FDD">
              <w:rPr>
                <w:rFonts w:ascii="Arial" w:hAnsi="Arial" w:cs="Arial"/>
                <w:sz w:val="20"/>
                <w:szCs w:val="20"/>
              </w:rPr>
              <w:t>Payments</w:t>
            </w:r>
          </w:p>
        </w:tc>
        <w:tc>
          <w:tcPr>
            <w:tcW w:w="1800" w:type="dxa"/>
          </w:tcPr>
          <w:p w:rsidR="00526D22" w:rsidRPr="00F60FDD" w:rsidRDefault="00526D22" w:rsidP="009B40BD">
            <w:pPr>
              <w:rPr>
                <w:rFonts w:ascii="Arial" w:hAnsi="Arial" w:cs="Arial"/>
                <w:sz w:val="20"/>
                <w:szCs w:val="20"/>
              </w:rPr>
            </w:pPr>
          </w:p>
          <w:p w:rsidR="00526D22" w:rsidRPr="00F60FDD" w:rsidRDefault="00526D22" w:rsidP="00F60FDD">
            <w:pPr>
              <w:jc w:val="center"/>
              <w:rPr>
                <w:rFonts w:ascii="Arial" w:hAnsi="Arial" w:cs="Arial"/>
                <w:sz w:val="20"/>
                <w:szCs w:val="20"/>
              </w:rPr>
            </w:pPr>
            <w:r w:rsidRPr="00F60FDD">
              <w:rPr>
                <w:rFonts w:ascii="Arial" w:hAnsi="Arial" w:cs="Arial"/>
                <w:sz w:val="20"/>
                <w:szCs w:val="20"/>
              </w:rPr>
              <w:t>Balance</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318,313.00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318,313.00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1991</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222,816.00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222,816.00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1992</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1,135,594.00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1,135,594.00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1994</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435,311.00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435,311.00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1995</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534,519.00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534,519.00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1996</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585,885.00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585,885.00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1997</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871,741.00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300,000.00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571,741.00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1998</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907,349.00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907,349.00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1999</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1,005,580.00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1,005,580.00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lastRenderedPageBreak/>
              <w:t>2000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1,033,363.00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1,033,363.00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2001</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1,339,699.00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1,339,699.00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2002</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1,598,518.00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1,598,518.00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2003</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1,596,126.00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1,596,126.00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2004</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1,608,262.00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1,608,262.00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2005</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1,496,663.00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1,496,663.00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2006</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1,540,248.00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800,000.00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740,248.00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2007</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1,568,303.00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1,568,303.00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2008</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1,758,610.00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1,758,610.00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2009</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1,545,466.00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1,545,466.00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2010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2,069,489.00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1,000,000.00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1,069,489.00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2011</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2,455,240.00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2,455,240.00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2012</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2,786,615.00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600,000.00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2,186,615.00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2013</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2,806,675.00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2,806,675.00</w:t>
            </w:r>
          </w:p>
        </w:tc>
      </w:tr>
      <w:tr w:rsidR="00526D22" w:rsidTr="00F60FDD">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2014</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2,814,931.00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2,814,931.00</w:t>
            </w:r>
          </w:p>
        </w:tc>
      </w:tr>
      <w:tr w:rsidR="00526D22" w:rsidTr="00F60FDD">
        <w:tc>
          <w:tcPr>
            <w:tcW w:w="1620" w:type="dxa"/>
          </w:tcPr>
          <w:p w:rsidR="00526D22" w:rsidRPr="00F60FDD" w:rsidRDefault="00526D22" w:rsidP="00F60FDD">
            <w:pPr>
              <w:jc w:val="center"/>
              <w:rPr>
                <w:rFonts w:ascii="Arial" w:hAnsi="Arial" w:cs="Arial"/>
                <w:sz w:val="20"/>
                <w:szCs w:val="20"/>
              </w:rPr>
            </w:pPr>
          </w:p>
        </w:tc>
        <w:tc>
          <w:tcPr>
            <w:tcW w:w="1800" w:type="dxa"/>
            <w:vAlign w:val="bottom"/>
          </w:tcPr>
          <w:p w:rsidR="00526D22" w:rsidRPr="00F60FDD" w:rsidRDefault="00526D22" w:rsidP="00F60FDD">
            <w:pPr>
              <w:jc w:val="right"/>
              <w:rPr>
                <w:rFonts w:ascii="Arial" w:hAnsi="Arial" w:cs="Arial"/>
                <w:sz w:val="20"/>
                <w:szCs w:val="20"/>
              </w:rPr>
            </w:pPr>
          </w:p>
        </w:tc>
        <w:tc>
          <w:tcPr>
            <w:tcW w:w="1800" w:type="dxa"/>
            <w:vAlign w:val="bottom"/>
          </w:tcPr>
          <w:p w:rsidR="00526D22" w:rsidRPr="00F60FDD" w:rsidRDefault="00526D22" w:rsidP="00F60FDD">
            <w:pPr>
              <w:jc w:val="right"/>
              <w:rPr>
                <w:rFonts w:ascii="Arial" w:hAnsi="Arial" w:cs="Arial"/>
                <w:sz w:val="20"/>
                <w:szCs w:val="20"/>
              </w:rPr>
            </w:pPr>
          </w:p>
        </w:tc>
        <w:tc>
          <w:tcPr>
            <w:tcW w:w="1800" w:type="dxa"/>
            <w:vAlign w:val="bottom"/>
          </w:tcPr>
          <w:p w:rsidR="00526D22" w:rsidRPr="00F60FDD" w:rsidRDefault="00526D22" w:rsidP="00F60FDD">
            <w:pPr>
              <w:jc w:val="right"/>
              <w:rPr>
                <w:rFonts w:ascii="Arial" w:hAnsi="Arial" w:cs="Arial"/>
                <w:sz w:val="20"/>
                <w:szCs w:val="20"/>
              </w:rPr>
            </w:pPr>
          </w:p>
        </w:tc>
      </w:tr>
      <w:tr w:rsidR="00526D22" w:rsidTr="00F60FDD">
        <w:tc>
          <w:tcPr>
            <w:tcW w:w="1620" w:type="dxa"/>
          </w:tcPr>
          <w:p w:rsidR="00526D22" w:rsidRPr="00F60FDD" w:rsidRDefault="00526D22" w:rsidP="00F60FDD">
            <w:pPr>
              <w:jc w:val="center"/>
              <w:rPr>
                <w:rFonts w:ascii="Arial" w:hAnsi="Arial" w:cs="Arial"/>
                <w:sz w:val="20"/>
                <w:szCs w:val="20"/>
              </w:rPr>
            </w:pPr>
            <w:r w:rsidRPr="00F60FDD">
              <w:rPr>
                <w:rFonts w:ascii="Arial" w:hAnsi="Arial" w:cs="Arial"/>
                <w:sz w:val="20"/>
                <w:szCs w:val="20"/>
              </w:rPr>
              <w:t>Totals</w:t>
            </w:r>
          </w:p>
        </w:tc>
        <w:tc>
          <w:tcPr>
            <w:tcW w:w="1800" w:type="dxa"/>
            <w:vAlign w:val="bottom"/>
          </w:tcPr>
          <w:p w:rsidR="00526D22" w:rsidRPr="00F60FDD" w:rsidRDefault="00526D22" w:rsidP="00F60FDD">
            <w:pPr>
              <w:jc w:val="right"/>
              <w:rPr>
                <w:rFonts w:ascii="Arial" w:hAnsi="Arial" w:cs="Arial"/>
                <w:b/>
                <w:sz w:val="20"/>
                <w:szCs w:val="20"/>
              </w:rPr>
            </w:pPr>
            <w:r w:rsidRPr="00F60FDD">
              <w:rPr>
                <w:rFonts w:ascii="Arial" w:hAnsi="Arial" w:cs="Arial"/>
                <w:b/>
                <w:sz w:val="20"/>
                <w:szCs w:val="20"/>
              </w:rPr>
              <w:t>34,035,316.00</w:t>
            </w:r>
          </w:p>
        </w:tc>
        <w:tc>
          <w:tcPr>
            <w:tcW w:w="1800" w:type="dxa"/>
            <w:vAlign w:val="bottom"/>
          </w:tcPr>
          <w:p w:rsidR="00526D22" w:rsidRPr="00F60FDD" w:rsidRDefault="00526D22" w:rsidP="00F60FDD">
            <w:pPr>
              <w:jc w:val="right"/>
              <w:rPr>
                <w:rFonts w:ascii="Arial" w:hAnsi="Arial" w:cs="Arial"/>
                <w:b/>
                <w:sz w:val="20"/>
                <w:szCs w:val="20"/>
              </w:rPr>
            </w:pPr>
            <w:r w:rsidRPr="00F60FDD">
              <w:rPr>
                <w:rFonts w:ascii="Arial" w:hAnsi="Arial" w:cs="Arial"/>
                <w:b/>
                <w:sz w:val="20"/>
                <w:szCs w:val="20"/>
              </w:rPr>
              <w:t>2,700,000.00</w:t>
            </w:r>
          </w:p>
        </w:tc>
        <w:tc>
          <w:tcPr>
            <w:tcW w:w="1800" w:type="dxa"/>
            <w:vAlign w:val="bottom"/>
          </w:tcPr>
          <w:p w:rsidR="00526D22" w:rsidRPr="00F60FDD" w:rsidRDefault="00526D22" w:rsidP="00F60FDD">
            <w:pPr>
              <w:jc w:val="right"/>
              <w:rPr>
                <w:rFonts w:ascii="Arial" w:hAnsi="Arial" w:cs="Arial"/>
                <w:b/>
                <w:sz w:val="20"/>
                <w:szCs w:val="20"/>
              </w:rPr>
            </w:pPr>
            <w:r w:rsidRPr="00F60FDD">
              <w:rPr>
                <w:rFonts w:ascii="Arial" w:hAnsi="Arial" w:cs="Arial"/>
                <w:b/>
                <w:sz w:val="20"/>
                <w:szCs w:val="20"/>
              </w:rPr>
              <w:t>31,335,316.00</w:t>
            </w:r>
          </w:p>
        </w:tc>
      </w:tr>
    </w:tbl>
    <w:p w:rsidR="00526D22" w:rsidRDefault="00526D22" w:rsidP="00526D22">
      <w:pPr>
        <w:rPr>
          <w:rFonts w:ascii="Arial" w:hAnsi="Arial" w:cs="Arial"/>
          <w:sz w:val="22"/>
        </w:rPr>
      </w:pPr>
    </w:p>
    <w:p w:rsidR="00526D22" w:rsidRDefault="00526D22" w:rsidP="002D077C">
      <w:pPr>
        <w:rPr>
          <w:rFonts w:ascii="Arial" w:hAnsi="Arial" w:cs="Arial"/>
          <w:sz w:val="22"/>
          <w:szCs w:val="22"/>
        </w:rPr>
      </w:pPr>
    </w:p>
    <w:p w:rsidR="00526D22" w:rsidRDefault="00526D22" w:rsidP="00A40982">
      <w:pPr>
        <w:ind w:left="360"/>
        <w:rPr>
          <w:rFonts w:ascii="Arial" w:hAnsi="Arial" w:cs="Arial"/>
          <w:sz w:val="22"/>
        </w:rPr>
      </w:pPr>
      <w:r>
        <w:rPr>
          <w:rFonts w:ascii="Arial" w:hAnsi="Arial" w:cs="Arial"/>
          <w:sz w:val="22"/>
        </w:rPr>
        <w:t>We recommend</w:t>
      </w:r>
      <w:r w:rsidR="000F5D53">
        <w:rPr>
          <w:rFonts w:ascii="Arial" w:hAnsi="Arial" w:cs="Arial"/>
          <w:sz w:val="22"/>
        </w:rPr>
        <w:t>ed</w:t>
      </w:r>
      <w:r>
        <w:rPr>
          <w:rFonts w:ascii="Arial" w:hAnsi="Arial" w:cs="Arial"/>
          <w:sz w:val="22"/>
        </w:rPr>
        <w:t xml:space="preserve"> th</w:t>
      </w:r>
      <w:r w:rsidR="004D2A39">
        <w:rPr>
          <w:rFonts w:ascii="Arial" w:hAnsi="Arial" w:cs="Arial"/>
          <w:sz w:val="22"/>
        </w:rPr>
        <w:t>at</w:t>
      </w:r>
      <w:r>
        <w:rPr>
          <w:rFonts w:ascii="Arial" w:hAnsi="Arial" w:cs="Arial"/>
          <w:sz w:val="22"/>
        </w:rPr>
        <w:t xml:space="preserve"> </w:t>
      </w:r>
      <w:r w:rsidR="004D2A39">
        <w:rPr>
          <w:rFonts w:ascii="Arial" w:hAnsi="Arial" w:cs="Arial"/>
          <w:sz w:val="22"/>
        </w:rPr>
        <w:t>Management</w:t>
      </w:r>
      <w:r>
        <w:rPr>
          <w:rFonts w:ascii="Arial" w:hAnsi="Arial" w:cs="Arial"/>
          <w:sz w:val="22"/>
        </w:rPr>
        <w:t>:</w:t>
      </w:r>
    </w:p>
    <w:p w:rsidR="00526D22" w:rsidRDefault="00526D22" w:rsidP="00526D22">
      <w:pPr>
        <w:rPr>
          <w:rFonts w:ascii="Arial" w:hAnsi="Arial" w:cs="Arial"/>
          <w:sz w:val="22"/>
        </w:rPr>
      </w:pPr>
    </w:p>
    <w:p w:rsidR="00526D22" w:rsidRDefault="00526D22" w:rsidP="00A40982">
      <w:pPr>
        <w:pStyle w:val="ListParagraph"/>
        <w:numPr>
          <w:ilvl w:val="0"/>
          <w:numId w:val="32"/>
        </w:numPr>
        <w:rPr>
          <w:rFonts w:ascii="Arial" w:hAnsi="Arial" w:cs="Arial"/>
          <w:sz w:val="22"/>
        </w:rPr>
      </w:pPr>
      <w:r>
        <w:rPr>
          <w:rFonts w:ascii="Arial" w:hAnsi="Arial" w:cs="Arial"/>
          <w:sz w:val="22"/>
        </w:rPr>
        <w:t>Validate the PFMS cost of audit summary to determine if there are any unrecorded payments made by PADC or any other inconsistencies therein so that the amounts can be reconciled;</w:t>
      </w:r>
    </w:p>
    <w:p w:rsidR="00526D22" w:rsidRPr="00721762" w:rsidRDefault="00526D22" w:rsidP="00A40982">
      <w:pPr>
        <w:ind w:left="720"/>
        <w:rPr>
          <w:rFonts w:ascii="Arial" w:hAnsi="Arial" w:cs="Arial"/>
          <w:sz w:val="22"/>
        </w:rPr>
      </w:pPr>
    </w:p>
    <w:p w:rsidR="00526D22" w:rsidRDefault="00526D22" w:rsidP="00A40982">
      <w:pPr>
        <w:pStyle w:val="ListParagraph"/>
        <w:numPr>
          <w:ilvl w:val="0"/>
          <w:numId w:val="32"/>
        </w:numPr>
        <w:rPr>
          <w:rFonts w:ascii="Arial" w:hAnsi="Arial" w:cs="Arial"/>
          <w:sz w:val="22"/>
        </w:rPr>
      </w:pPr>
      <w:r>
        <w:rPr>
          <w:rFonts w:ascii="Arial" w:hAnsi="Arial" w:cs="Arial"/>
          <w:sz w:val="22"/>
        </w:rPr>
        <w:t>Update the liability account of the Corporation by recognizing the charges in the books of accounts; and</w:t>
      </w:r>
    </w:p>
    <w:p w:rsidR="00526D22" w:rsidRPr="00721762" w:rsidRDefault="00526D22" w:rsidP="00A40982">
      <w:pPr>
        <w:pStyle w:val="ListParagraph"/>
        <w:rPr>
          <w:rFonts w:ascii="Arial" w:hAnsi="Arial" w:cs="Arial"/>
          <w:sz w:val="22"/>
        </w:rPr>
      </w:pPr>
    </w:p>
    <w:p w:rsidR="00526D22" w:rsidRPr="00CE51AD" w:rsidRDefault="00526D22" w:rsidP="00A40982">
      <w:pPr>
        <w:pStyle w:val="ListParagraph"/>
        <w:numPr>
          <w:ilvl w:val="0"/>
          <w:numId w:val="32"/>
        </w:numPr>
        <w:rPr>
          <w:rFonts w:ascii="Arial" w:hAnsi="Arial" w:cs="Arial"/>
          <w:sz w:val="22"/>
        </w:rPr>
      </w:pPr>
      <w:r>
        <w:rPr>
          <w:rFonts w:ascii="Arial" w:hAnsi="Arial" w:cs="Arial"/>
          <w:sz w:val="22"/>
        </w:rPr>
        <w:t>Make periodic payments to the COA and OGCC.</w:t>
      </w:r>
    </w:p>
    <w:p w:rsidR="008A695E" w:rsidRDefault="008A695E" w:rsidP="00526D22">
      <w:pPr>
        <w:ind w:left="720" w:hanging="360"/>
        <w:rPr>
          <w:rFonts w:ascii="Arial" w:hAnsi="Arial" w:cs="Arial"/>
          <w:sz w:val="22"/>
          <w:szCs w:val="22"/>
        </w:rPr>
      </w:pPr>
    </w:p>
    <w:p w:rsidR="00ED5427" w:rsidRPr="002D50FE" w:rsidRDefault="00ED5427" w:rsidP="00A40982">
      <w:pPr>
        <w:ind w:left="360" w:right="-18"/>
        <w:rPr>
          <w:rFonts w:ascii="Arial" w:hAnsi="Arial" w:cs="Arial"/>
          <w:sz w:val="22"/>
          <w:szCs w:val="22"/>
        </w:rPr>
      </w:pPr>
      <w:r w:rsidRPr="002D50FE">
        <w:rPr>
          <w:rFonts w:ascii="Arial" w:hAnsi="Arial" w:cs="Arial"/>
          <w:sz w:val="22"/>
          <w:szCs w:val="22"/>
        </w:rPr>
        <w:t xml:space="preserve">Management </w:t>
      </w:r>
      <w:r>
        <w:rPr>
          <w:rFonts w:ascii="Arial" w:hAnsi="Arial" w:cs="Arial"/>
          <w:sz w:val="22"/>
          <w:szCs w:val="22"/>
        </w:rPr>
        <w:t>replied</w:t>
      </w:r>
      <w:r w:rsidR="005B7932">
        <w:rPr>
          <w:rFonts w:ascii="Arial" w:hAnsi="Arial" w:cs="Arial"/>
          <w:sz w:val="22"/>
          <w:szCs w:val="22"/>
        </w:rPr>
        <w:t xml:space="preserve"> that</w:t>
      </w:r>
      <w:r w:rsidR="008B6769">
        <w:rPr>
          <w:rFonts w:ascii="Arial" w:hAnsi="Arial" w:cs="Arial"/>
          <w:sz w:val="22"/>
          <w:szCs w:val="22"/>
        </w:rPr>
        <w:t xml:space="preserve"> </w:t>
      </w:r>
      <w:r w:rsidR="000F5D53">
        <w:rPr>
          <w:rFonts w:ascii="Arial" w:hAnsi="Arial" w:cs="Arial"/>
          <w:sz w:val="22"/>
          <w:szCs w:val="22"/>
        </w:rPr>
        <w:t xml:space="preserve">they </w:t>
      </w:r>
      <w:r w:rsidR="00244D74">
        <w:rPr>
          <w:rFonts w:ascii="Arial" w:hAnsi="Arial" w:cs="Arial"/>
          <w:sz w:val="22"/>
          <w:szCs w:val="22"/>
        </w:rPr>
        <w:t xml:space="preserve">acknowledge </w:t>
      </w:r>
      <w:r w:rsidR="000F5D53">
        <w:rPr>
          <w:rFonts w:ascii="Arial" w:hAnsi="Arial" w:cs="Arial"/>
          <w:sz w:val="22"/>
          <w:szCs w:val="22"/>
        </w:rPr>
        <w:t xml:space="preserve">their </w:t>
      </w:r>
      <w:r w:rsidR="008B6769">
        <w:rPr>
          <w:rFonts w:ascii="Arial" w:hAnsi="Arial" w:cs="Arial"/>
          <w:sz w:val="22"/>
          <w:szCs w:val="22"/>
        </w:rPr>
        <w:t xml:space="preserve">liabilities </w:t>
      </w:r>
      <w:r w:rsidR="000F5D53">
        <w:rPr>
          <w:rFonts w:ascii="Arial" w:hAnsi="Arial" w:cs="Arial"/>
          <w:sz w:val="22"/>
          <w:szCs w:val="22"/>
        </w:rPr>
        <w:t xml:space="preserve">to the COA and OGCC </w:t>
      </w:r>
      <w:r w:rsidR="008B6769">
        <w:rPr>
          <w:rFonts w:ascii="Arial" w:hAnsi="Arial" w:cs="Arial"/>
          <w:sz w:val="22"/>
          <w:szCs w:val="22"/>
        </w:rPr>
        <w:t xml:space="preserve">and </w:t>
      </w:r>
      <w:r>
        <w:rPr>
          <w:rFonts w:ascii="Arial" w:hAnsi="Arial" w:cs="Arial"/>
          <w:sz w:val="22"/>
          <w:szCs w:val="22"/>
        </w:rPr>
        <w:t xml:space="preserve">will </w:t>
      </w:r>
      <w:r w:rsidRPr="002D50FE">
        <w:rPr>
          <w:rFonts w:ascii="Arial" w:hAnsi="Arial" w:cs="Arial"/>
          <w:sz w:val="22"/>
          <w:szCs w:val="22"/>
        </w:rPr>
        <w:t xml:space="preserve">pay </w:t>
      </w:r>
      <w:r w:rsidR="007014C3">
        <w:rPr>
          <w:rFonts w:ascii="Arial" w:hAnsi="Arial" w:cs="Arial"/>
          <w:sz w:val="22"/>
          <w:szCs w:val="22"/>
        </w:rPr>
        <w:t>d</w:t>
      </w:r>
      <w:r>
        <w:rPr>
          <w:rFonts w:ascii="Arial" w:hAnsi="Arial" w:cs="Arial"/>
          <w:sz w:val="22"/>
          <w:szCs w:val="22"/>
        </w:rPr>
        <w:t>epending upo</w:t>
      </w:r>
      <w:r w:rsidR="007014C3">
        <w:rPr>
          <w:rFonts w:ascii="Arial" w:hAnsi="Arial" w:cs="Arial"/>
          <w:sz w:val="22"/>
          <w:szCs w:val="22"/>
        </w:rPr>
        <w:t>n</w:t>
      </w:r>
      <w:r w:rsidR="009B40BD">
        <w:rPr>
          <w:rFonts w:ascii="Arial" w:hAnsi="Arial" w:cs="Arial"/>
          <w:sz w:val="22"/>
          <w:szCs w:val="22"/>
        </w:rPr>
        <w:t xml:space="preserve"> the availability of its funds.  Presently, fund allocation </w:t>
      </w:r>
      <w:r w:rsidR="007014C3">
        <w:rPr>
          <w:rFonts w:ascii="Arial" w:hAnsi="Arial" w:cs="Arial"/>
          <w:sz w:val="22"/>
          <w:szCs w:val="22"/>
        </w:rPr>
        <w:t xml:space="preserve">is </w:t>
      </w:r>
      <w:r w:rsidR="009B40BD">
        <w:rPr>
          <w:rFonts w:ascii="Arial" w:hAnsi="Arial" w:cs="Arial"/>
          <w:sz w:val="22"/>
          <w:szCs w:val="22"/>
        </w:rPr>
        <w:t xml:space="preserve">geared towards </w:t>
      </w:r>
      <w:r w:rsidR="007014C3">
        <w:rPr>
          <w:rFonts w:ascii="Arial" w:hAnsi="Arial" w:cs="Arial"/>
          <w:sz w:val="22"/>
          <w:szCs w:val="22"/>
        </w:rPr>
        <w:t xml:space="preserve">modernizing PADC as </w:t>
      </w:r>
      <w:r w:rsidR="009B40BD">
        <w:rPr>
          <w:rFonts w:ascii="Arial" w:hAnsi="Arial" w:cs="Arial"/>
          <w:sz w:val="22"/>
          <w:szCs w:val="22"/>
        </w:rPr>
        <w:t xml:space="preserve">directed </w:t>
      </w:r>
      <w:r w:rsidR="007014C3">
        <w:rPr>
          <w:rFonts w:ascii="Arial" w:hAnsi="Arial" w:cs="Arial"/>
          <w:sz w:val="22"/>
          <w:szCs w:val="22"/>
        </w:rPr>
        <w:t>by the Office of</w:t>
      </w:r>
      <w:r w:rsidR="009B40BD">
        <w:rPr>
          <w:rFonts w:ascii="Arial" w:hAnsi="Arial" w:cs="Arial"/>
          <w:sz w:val="22"/>
          <w:szCs w:val="22"/>
        </w:rPr>
        <w:t xml:space="preserve"> the President</w:t>
      </w:r>
      <w:r w:rsidR="007014C3">
        <w:rPr>
          <w:rFonts w:ascii="Arial" w:hAnsi="Arial" w:cs="Arial"/>
          <w:sz w:val="22"/>
          <w:szCs w:val="22"/>
        </w:rPr>
        <w:t xml:space="preserve">. </w:t>
      </w:r>
    </w:p>
    <w:p w:rsidR="00526D22" w:rsidRDefault="00526D22" w:rsidP="00E41B48">
      <w:pPr>
        <w:pStyle w:val="NoSpacing"/>
        <w:tabs>
          <w:tab w:val="left" w:pos="360"/>
        </w:tabs>
        <w:rPr>
          <w:rFonts w:ascii="Arial" w:hAnsi="Arial" w:cs="Arial"/>
          <w:b/>
          <w:sz w:val="22"/>
          <w:szCs w:val="22"/>
        </w:rPr>
      </w:pPr>
    </w:p>
    <w:p w:rsidR="009B40BD" w:rsidRDefault="009B40BD" w:rsidP="00E41B48">
      <w:pPr>
        <w:pStyle w:val="NoSpacing"/>
        <w:tabs>
          <w:tab w:val="left" w:pos="360"/>
        </w:tabs>
        <w:rPr>
          <w:rFonts w:ascii="Arial" w:hAnsi="Arial" w:cs="Arial"/>
          <w:b/>
          <w:sz w:val="22"/>
          <w:szCs w:val="22"/>
        </w:rPr>
      </w:pPr>
    </w:p>
    <w:p w:rsidR="00A40982" w:rsidRPr="008F4840" w:rsidRDefault="00B70BF6" w:rsidP="00A40982">
      <w:pPr>
        <w:pStyle w:val="ListParagraph"/>
        <w:numPr>
          <w:ilvl w:val="0"/>
          <w:numId w:val="10"/>
        </w:numPr>
        <w:rPr>
          <w:rFonts w:ascii="Arial" w:hAnsi="Arial" w:cs="Arial"/>
          <w:b/>
          <w:sz w:val="22"/>
          <w:szCs w:val="22"/>
        </w:rPr>
      </w:pPr>
      <w:r>
        <w:rPr>
          <w:rFonts w:ascii="Arial" w:hAnsi="Arial" w:cs="Arial"/>
          <w:b/>
          <w:sz w:val="22"/>
          <w:szCs w:val="22"/>
        </w:rPr>
        <w:t>Dividends payable to the Nationa</w:t>
      </w:r>
      <w:r w:rsidR="00E978FB">
        <w:rPr>
          <w:rFonts w:ascii="Arial" w:hAnsi="Arial" w:cs="Arial"/>
          <w:b/>
          <w:sz w:val="22"/>
          <w:szCs w:val="22"/>
        </w:rPr>
        <w:t>l Government totaling P6.40</w:t>
      </w:r>
      <w:r w:rsidR="00984A3F">
        <w:rPr>
          <w:rFonts w:ascii="Arial" w:hAnsi="Arial" w:cs="Arial"/>
          <w:b/>
          <w:sz w:val="22"/>
          <w:szCs w:val="22"/>
        </w:rPr>
        <w:t>4</w:t>
      </w:r>
      <w:r w:rsidR="00E978FB">
        <w:rPr>
          <w:rFonts w:ascii="Arial" w:hAnsi="Arial" w:cs="Arial"/>
          <w:b/>
          <w:sz w:val="22"/>
          <w:szCs w:val="22"/>
        </w:rPr>
        <w:t xml:space="preserve"> million</w:t>
      </w:r>
      <w:r>
        <w:rPr>
          <w:rFonts w:ascii="Arial" w:hAnsi="Arial" w:cs="Arial"/>
          <w:b/>
          <w:sz w:val="22"/>
          <w:szCs w:val="22"/>
        </w:rPr>
        <w:t xml:space="preserve"> covering calendar years 2011 to 2014 have yet to be remitted by the Corporation.</w:t>
      </w:r>
    </w:p>
    <w:p w:rsidR="009B40BD" w:rsidRDefault="009B40BD" w:rsidP="00A40982">
      <w:pPr>
        <w:pStyle w:val="NoSpacing"/>
        <w:rPr>
          <w:rFonts w:ascii="Arial" w:hAnsi="Arial" w:cs="Arial"/>
          <w:b/>
          <w:sz w:val="22"/>
          <w:szCs w:val="22"/>
        </w:rPr>
      </w:pPr>
    </w:p>
    <w:p w:rsidR="00183327" w:rsidRDefault="00183327" w:rsidP="00A40982">
      <w:pPr>
        <w:pStyle w:val="NoSpacing"/>
        <w:ind w:left="360"/>
        <w:rPr>
          <w:rFonts w:ascii="Arial" w:hAnsi="Arial" w:cs="Arial"/>
          <w:sz w:val="22"/>
          <w:szCs w:val="22"/>
        </w:rPr>
      </w:pPr>
      <w:r w:rsidRPr="00AA19D3">
        <w:rPr>
          <w:rFonts w:ascii="Arial" w:hAnsi="Arial" w:cs="Arial"/>
          <w:bCs/>
          <w:sz w:val="22"/>
          <w:szCs w:val="22"/>
        </w:rPr>
        <w:t>Section 3 of Republic Act No. 7656 states</w:t>
      </w:r>
      <w:r>
        <w:rPr>
          <w:rFonts w:ascii="Arial" w:hAnsi="Arial" w:cs="Arial"/>
          <w:bCs/>
          <w:sz w:val="22"/>
          <w:szCs w:val="22"/>
        </w:rPr>
        <w:t xml:space="preserve"> that</w:t>
      </w:r>
      <w:r w:rsidRPr="00AA19D3">
        <w:rPr>
          <w:rFonts w:ascii="Arial" w:hAnsi="Arial" w:cs="Arial"/>
          <w:bCs/>
          <w:sz w:val="22"/>
          <w:szCs w:val="22"/>
        </w:rPr>
        <w:t xml:space="preserve"> “All government owned or controlled corporations shall declare and remit at least fifty percent (50%) of their annual net earnings as cash, stock or property dividends to the National Government.</w:t>
      </w:r>
      <w:r>
        <w:rPr>
          <w:rFonts w:ascii="Arial" w:hAnsi="Arial" w:cs="Arial"/>
          <w:bCs/>
          <w:sz w:val="22"/>
          <w:szCs w:val="22"/>
        </w:rPr>
        <w:t xml:space="preserve"> </w:t>
      </w:r>
      <w:r w:rsidRPr="00AA19D3">
        <w:rPr>
          <w:rFonts w:ascii="Arial" w:hAnsi="Arial" w:cs="Arial"/>
          <w:bCs/>
          <w:sz w:val="22"/>
          <w:szCs w:val="22"/>
        </w:rPr>
        <w:t> </w:t>
      </w:r>
      <w:r>
        <w:rPr>
          <w:rFonts w:ascii="Arial" w:hAnsi="Arial" w:cs="Arial"/>
          <w:bCs/>
          <w:sz w:val="22"/>
          <w:szCs w:val="22"/>
        </w:rPr>
        <w:t xml:space="preserve"> </w:t>
      </w:r>
      <w:r w:rsidR="00ED172A">
        <w:rPr>
          <w:rFonts w:ascii="Arial" w:hAnsi="Arial" w:cs="Arial"/>
          <w:bCs/>
          <w:sz w:val="22"/>
          <w:szCs w:val="22"/>
        </w:rPr>
        <w:t xml:space="preserve">x </w:t>
      </w:r>
      <w:r>
        <w:rPr>
          <w:rFonts w:ascii="Arial" w:hAnsi="Arial" w:cs="Arial"/>
          <w:bCs/>
          <w:sz w:val="22"/>
          <w:szCs w:val="22"/>
        </w:rPr>
        <w:t>x x.”</w:t>
      </w:r>
    </w:p>
    <w:p w:rsidR="00183327" w:rsidRDefault="00183327" w:rsidP="00A40982">
      <w:pPr>
        <w:pStyle w:val="NoSpacing"/>
        <w:ind w:left="360"/>
        <w:rPr>
          <w:rFonts w:ascii="Arial" w:hAnsi="Arial" w:cs="Arial"/>
          <w:sz w:val="22"/>
          <w:szCs w:val="22"/>
        </w:rPr>
      </w:pPr>
    </w:p>
    <w:p w:rsidR="00A40982" w:rsidRDefault="00E978FB" w:rsidP="00A40982">
      <w:pPr>
        <w:pStyle w:val="NoSpacing"/>
        <w:ind w:left="360"/>
        <w:rPr>
          <w:rFonts w:ascii="Arial" w:hAnsi="Arial" w:cs="Arial"/>
          <w:sz w:val="22"/>
          <w:szCs w:val="22"/>
        </w:rPr>
      </w:pPr>
      <w:r>
        <w:rPr>
          <w:rFonts w:ascii="Arial" w:hAnsi="Arial" w:cs="Arial"/>
          <w:sz w:val="22"/>
          <w:szCs w:val="22"/>
        </w:rPr>
        <w:t xml:space="preserve">Based on the reported net incomes of the Corporation for the years 2011, 2012, 2013 and 2014, we determined that </w:t>
      </w:r>
      <w:r w:rsidR="00183327">
        <w:rPr>
          <w:rFonts w:ascii="Arial" w:hAnsi="Arial" w:cs="Arial"/>
          <w:sz w:val="22"/>
          <w:szCs w:val="22"/>
        </w:rPr>
        <w:t xml:space="preserve">at least </w:t>
      </w:r>
      <w:r>
        <w:rPr>
          <w:rFonts w:ascii="Arial" w:hAnsi="Arial" w:cs="Arial"/>
          <w:sz w:val="22"/>
          <w:szCs w:val="22"/>
        </w:rPr>
        <w:t>P6</w:t>
      </w:r>
      <w:r w:rsidR="00984A3F">
        <w:rPr>
          <w:rFonts w:ascii="Arial" w:hAnsi="Arial" w:cs="Arial"/>
          <w:sz w:val="22"/>
          <w:szCs w:val="22"/>
        </w:rPr>
        <w:t>.</w:t>
      </w:r>
      <w:r>
        <w:rPr>
          <w:rFonts w:ascii="Arial" w:hAnsi="Arial" w:cs="Arial"/>
          <w:sz w:val="22"/>
          <w:szCs w:val="22"/>
        </w:rPr>
        <w:t>40</w:t>
      </w:r>
      <w:r w:rsidR="00984A3F">
        <w:rPr>
          <w:rFonts w:ascii="Arial" w:hAnsi="Arial" w:cs="Arial"/>
          <w:sz w:val="22"/>
          <w:szCs w:val="22"/>
        </w:rPr>
        <w:t>4 million</w:t>
      </w:r>
      <w:r w:rsidR="00183327">
        <w:rPr>
          <w:rFonts w:ascii="Arial" w:hAnsi="Arial" w:cs="Arial"/>
          <w:sz w:val="22"/>
          <w:szCs w:val="22"/>
        </w:rPr>
        <w:t xml:space="preserve"> is still due to the National Government in dividends as computed </w:t>
      </w:r>
      <w:r w:rsidR="00ED172A">
        <w:rPr>
          <w:rFonts w:ascii="Arial" w:hAnsi="Arial" w:cs="Arial"/>
          <w:sz w:val="22"/>
          <w:szCs w:val="22"/>
        </w:rPr>
        <w:t>in the following page</w:t>
      </w:r>
      <w:r w:rsidR="00183327">
        <w:rPr>
          <w:rFonts w:ascii="Arial" w:hAnsi="Arial" w:cs="Arial"/>
          <w:sz w:val="22"/>
          <w:szCs w:val="22"/>
        </w:rPr>
        <w:t>:</w:t>
      </w:r>
    </w:p>
    <w:p w:rsidR="00A40982" w:rsidRDefault="00ED172A" w:rsidP="00A40982">
      <w:pPr>
        <w:pStyle w:val="NoSpacing"/>
        <w:tabs>
          <w:tab w:val="left" w:pos="0"/>
        </w:tabs>
        <w:rPr>
          <w:rFonts w:ascii="Arial" w:hAnsi="Arial" w:cs="Arial"/>
          <w:sz w:val="22"/>
          <w:szCs w:val="22"/>
        </w:rPr>
      </w:pPr>
      <w:r>
        <w:rPr>
          <w:rFonts w:ascii="Arial" w:hAnsi="Arial" w:cs="Arial"/>
          <w:sz w:val="22"/>
          <w:szCs w:val="22"/>
        </w:rPr>
        <w:br w:type="page"/>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530"/>
        <w:gridCol w:w="1440"/>
        <w:gridCol w:w="1530"/>
        <w:gridCol w:w="1440"/>
      </w:tblGrid>
      <w:tr w:rsidR="00A40982" w:rsidRPr="00BF1868" w:rsidTr="00FA7DEE">
        <w:tc>
          <w:tcPr>
            <w:tcW w:w="1890" w:type="dxa"/>
            <w:tcBorders>
              <w:top w:val="nil"/>
              <w:left w:val="nil"/>
              <w:bottom w:val="single" w:sz="4" w:space="0" w:color="auto"/>
              <w:right w:val="nil"/>
            </w:tcBorders>
          </w:tcPr>
          <w:p w:rsidR="00A40982" w:rsidRDefault="00A40982" w:rsidP="00FA7DEE">
            <w:pPr>
              <w:jc w:val="center"/>
              <w:rPr>
                <w:rFonts w:ascii="Arial" w:hAnsi="Arial" w:cs="Arial"/>
                <w:sz w:val="22"/>
                <w:szCs w:val="22"/>
              </w:rPr>
            </w:pPr>
          </w:p>
          <w:p w:rsidR="00A40982" w:rsidRPr="00BF1868" w:rsidRDefault="00A40982" w:rsidP="005D4B22">
            <w:pPr>
              <w:jc w:val="center"/>
              <w:rPr>
                <w:rFonts w:ascii="Arial" w:hAnsi="Arial" w:cs="Arial"/>
                <w:sz w:val="22"/>
                <w:szCs w:val="22"/>
              </w:rPr>
            </w:pPr>
            <w:r w:rsidRPr="00BF1868">
              <w:rPr>
                <w:rFonts w:ascii="Arial" w:hAnsi="Arial" w:cs="Arial"/>
                <w:sz w:val="22"/>
                <w:szCs w:val="22"/>
              </w:rPr>
              <w:t xml:space="preserve">Calendar  </w:t>
            </w:r>
            <w:r w:rsidR="005D4B22">
              <w:rPr>
                <w:rFonts w:ascii="Arial" w:hAnsi="Arial" w:cs="Arial"/>
                <w:sz w:val="22"/>
                <w:szCs w:val="22"/>
              </w:rPr>
              <w:t>Y</w:t>
            </w:r>
            <w:r w:rsidRPr="00BF1868">
              <w:rPr>
                <w:rFonts w:ascii="Arial" w:hAnsi="Arial" w:cs="Arial"/>
                <w:sz w:val="22"/>
                <w:szCs w:val="22"/>
              </w:rPr>
              <w:t>ear</w:t>
            </w:r>
          </w:p>
        </w:tc>
        <w:tc>
          <w:tcPr>
            <w:tcW w:w="1530" w:type="dxa"/>
            <w:tcBorders>
              <w:top w:val="nil"/>
              <w:left w:val="nil"/>
              <w:bottom w:val="single" w:sz="4" w:space="0" w:color="auto"/>
              <w:right w:val="nil"/>
            </w:tcBorders>
          </w:tcPr>
          <w:p w:rsidR="00A40982" w:rsidRDefault="00A40982" w:rsidP="00FA7DEE">
            <w:pPr>
              <w:jc w:val="center"/>
              <w:rPr>
                <w:rFonts w:ascii="Arial" w:hAnsi="Arial" w:cs="Arial"/>
                <w:sz w:val="22"/>
                <w:szCs w:val="22"/>
              </w:rPr>
            </w:pPr>
          </w:p>
          <w:p w:rsidR="00A40982" w:rsidRPr="00BF1868" w:rsidRDefault="00A40982" w:rsidP="00FA7DEE">
            <w:pPr>
              <w:jc w:val="center"/>
              <w:rPr>
                <w:rFonts w:ascii="Arial" w:hAnsi="Arial" w:cs="Arial"/>
                <w:sz w:val="22"/>
                <w:szCs w:val="22"/>
              </w:rPr>
            </w:pPr>
            <w:r w:rsidRPr="00BF1868">
              <w:rPr>
                <w:rFonts w:ascii="Arial" w:hAnsi="Arial" w:cs="Arial"/>
                <w:sz w:val="22"/>
                <w:szCs w:val="22"/>
              </w:rPr>
              <w:t>Net Income</w:t>
            </w:r>
          </w:p>
        </w:tc>
        <w:tc>
          <w:tcPr>
            <w:tcW w:w="1440" w:type="dxa"/>
            <w:tcBorders>
              <w:top w:val="nil"/>
              <w:left w:val="nil"/>
              <w:bottom w:val="single" w:sz="4" w:space="0" w:color="auto"/>
              <w:right w:val="nil"/>
            </w:tcBorders>
          </w:tcPr>
          <w:p w:rsidR="00A40982" w:rsidRPr="00BF1868" w:rsidRDefault="00A40982" w:rsidP="00FA7DEE">
            <w:pPr>
              <w:jc w:val="center"/>
              <w:rPr>
                <w:rFonts w:ascii="Arial" w:hAnsi="Arial" w:cs="Arial"/>
                <w:sz w:val="22"/>
                <w:szCs w:val="22"/>
              </w:rPr>
            </w:pPr>
            <w:r w:rsidRPr="00BF1868">
              <w:rPr>
                <w:rFonts w:ascii="Arial" w:hAnsi="Arial" w:cs="Arial"/>
                <w:sz w:val="22"/>
                <w:szCs w:val="22"/>
              </w:rPr>
              <w:t>Should be remitted</w:t>
            </w:r>
          </w:p>
        </w:tc>
        <w:tc>
          <w:tcPr>
            <w:tcW w:w="1530" w:type="dxa"/>
            <w:tcBorders>
              <w:top w:val="nil"/>
              <w:left w:val="nil"/>
              <w:bottom w:val="single" w:sz="4" w:space="0" w:color="auto"/>
              <w:right w:val="nil"/>
            </w:tcBorders>
          </w:tcPr>
          <w:p w:rsidR="00A40982" w:rsidRPr="00BF1868" w:rsidRDefault="00A40982" w:rsidP="00FA7DEE">
            <w:pPr>
              <w:jc w:val="center"/>
              <w:rPr>
                <w:rFonts w:ascii="Arial" w:hAnsi="Arial" w:cs="Arial"/>
                <w:sz w:val="22"/>
                <w:szCs w:val="22"/>
              </w:rPr>
            </w:pPr>
          </w:p>
          <w:p w:rsidR="00A40982" w:rsidRPr="00BF1868" w:rsidRDefault="00A40982" w:rsidP="00FA7DEE">
            <w:pPr>
              <w:jc w:val="center"/>
              <w:rPr>
                <w:rFonts w:ascii="Arial" w:hAnsi="Arial" w:cs="Arial"/>
                <w:sz w:val="22"/>
                <w:szCs w:val="22"/>
              </w:rPr>
            </w:pPr>
            <w:r w:rsidRPr="00BF1868">
              <w:rPr>
                <w:rFonts w:ascii="Arial" w:hAnsi="Arial" w:cs="Arial"/>
                <w:sz w:val="22"/>
                <w:szCs w:val="22"/>
              </w:rPr>
              <w:t>Remitted</w:t>
            </w:r>
          </w:p>
        </w:tc>
        <w:tc>
          <w:tcPr>
            <w:tcW w:w="1440" w:type="dxa"/>
            <w:tcBorders>
              <w:top w:val="nil"/>
              <w:left w:val="nil"/>
              <w:bottom w:val="single" w:sz="4" w:space="0" w:color="auto"/>
              <w:right w:val="nil"/>
            </w:tcBorders>
          </w:tcPr>
          <w:p w:rsidR="00A40982" w:rsidRDefault="00A40982" w:rsidP="00FA7DEE">
            <w:pPr>
              <w:jc w:val="center"/>
              <w:rPr>
                <w:rFonts w:ascii="Arial" w:hAnsi="Arial" w:cs="Arial"/>
                <w:sz w:val="22"/>
                <w:szCs w:val="22"/>
              </w:rPr>
            </w:pPr>
          </w:p>
          <w:p w:rsidR="00B70BF6" w:rsidRPr="00BF1868" w:rsidRDefault="00B70BF6" w:rsidP="00FA7DEE">
            <w:pPr>
              <w:jc w:val="center"/>
              <w:rPr>
                <w:rFonts w:ascii="Arial" w:hAnsi="Arial" w:cs="Arial"/>
                <w:sz w:val="22"/>
                <w:szCs w:val="22"/>
              </w:rPr>
            </w:pPr>
            <w:r>
              <w:rPr>
                <w:rFonts w:ascii="Arial" w:hAnsi="Arial" w:cs="Arial"/>
                <w:sz w:val="22"/>
                <w:szCs w:val="22"/>
              </w:rPr>
              <w:t>Balance</w:t>
            </w:r>
          </w:p>
        </w:tc>
      </w:tr>
      <w:tr w:rsidR="00A40982" w:rsidRPr="00BF1868" w:rsidTr="00FA7DEE">
        <w:tc>
          <w:tcPr>
            <w:tcW w:w="1890" w:type="dxa"/>
            <w:tcBorders>
              <w:top w:val="single" w:sz="4" w:space="0" w:color="auto"/>
              <w:left w:val="nil"/>
              <w:bottom w:val="nil"/>
              <w:right w:val="nil"/>
            </w:tcBorders>
          </w:tcPr>
          <w:p w:rsidR="00A40982" w:rsidRPr="00BF1868" w:rsidRDefault="00A40982" w:rsidP="00FA7DEE">
            <w:pPr>
              <w:rPr>
                <w:rFonts w:ascii="Arial" w:hAnsi="Arial" w:cs="Arial"/>
                <w:sz w:val="22"/>
                <w:szCs w:val="22"/>
              </w:rPr>
            </w:pPr>
          </w:p>
        </w:tc>
        <w:tc>
          <w:tcPr>
            <w:tcW w:w="1530" w:type="dxa"/>
            <w:tcBorders>
              <w:top w:val="single" w:sz="4" w:space="0" w:color="auto"/>
              <w:left w:val="nil"/>
              <w:bottom w:val="nil"/>
              <w:right w:val="nil"/>
            </w:tcBorders>
          </w:tcPr>
          <w:p w:rsidR="00A40982" w:rsidRPr="00BF1868" w:rsidRDefault="00A40982" w:rsidP="00FA7DEE">
            <w:pPr>
              <w:rPr>
                <w:rFonts w:ascii="Arial" w:hAnsi="Arial" w:cs="Arial"/>
                <w:sz w:val="22"/>
                <w:szCs w:val="22"/>
              </w:rPr>
            </w:pPr>
          </w:p>
        </w:tc>
        <w:tc>
          <w:tcPr>
            <w:tcW w:w="1440" w:type="dxa"/>
            <w:tcBorders>
              <w:top w:val="single" w:sz="4" w:space="0" w:color="auto"/>
              <w:left w:val="nil"/>
              <w:bottom w:val="nil"/>
              <w:right w:val="nil"/>
            </w:tcBorders>
          </w:tcPr>
          <w:p w:rsidR="00A40982" w:rsidRPr="00BF1868" w:rsidRDefault="00A40982" w:rsidP="00FA7DEE">
            <w:pPr>
              <w:rPr>
                <w:rFonts w:ascii="Arial" w:hAnsi="Arial" w:cs="Arial"/>
                <w:sz w:val="22"/>
                <w:szCs w:val="22"/>
              </w:rPr>
            </w:pPr>
          </w:p>
        </w:tc>
        <w:tc>
          <w:tcPr>
            <w:tcW w:w="1530" w:type="dxa"/>
            <w:tcBorders>
              <w:top w:val="single" w:sz="4" w:space="0" w:color="auto"/>
              <w:left w:val="nil"/>
              <w:bottom w:val="nil"/>
              <w:right w:val="nil"/>
            </w:tcBorders>
          </w:tcPr>
          <w:p w:rsidR="00A40982" w:rsidRPr="00BF1868" w:rsidRDefault="00A40982" w:rsidP="00FA7DEE">
            <w:pPr>
              <w:rPr>
                <w:rFonts w:ascii="Arial" w:hAnsi="Arial" w:cs="Arial"/>
                <w:sz w:val="22"/>
                <w:szCs w:val="22"/>
              </w:rPr>
            </w:pPr>
          </w:p>
        </w:tc>
        <w:tc>
          <w:tcPr>
            <w:tcW w:w="1440" w:type="dxa"/>
            <w:tcBorders>
              <w:top w:val="single" w:sz="4" w:space="0" w:color="auto"/>
              <w:left w:val="nil"/>
              <w:bottom w:val="nil"/>
              <w:right w:val="nil"/>
            </w:tcBorders>
          </w:tcPr>
          <w:p w:rsidR="00A40982" w:rsidRPr="00BF1868" w:rsidRDefault="00A40982" w:rsidP="00FA7DEE">
            <w:pPr>
              <w:rPr>
                <w:rFonts w:ascii="Arial" w:hAnsi="Arial" w:cs="Arial"/>
                <w:sz w:val="22"/>
                <w:szCs w:val="22"/>
              </w:rPr>
            </w:pPr>
          </w:p>
        </w:tc>
      </w:tr>
      <w:tr w:rsidR="00A40982" w:rsidRPr="00BF1868" w:rsidTr="00E978FB">
        <w:tc>
          <w:tcPr>
            <w:tcW w:w="1890" w:type="dxa"/>
            <w:tcBorders>
              <w:top w:val="nil"/>
              <w:left w:val="nil"/>
              <w:bottom w:val="nil"/>
              <w:right w:val="nil"/>
            </w:tcBorders>
          </w:tcPr>
          <w:p w:rsidR="00A40982" w:rsidRPr="00BF1868" w:rsidRDefault="00A40982" w:rsidP="00FA7DEE">
            <w:pPr>
              <w:jc w:val="center"/>
              <w:rPr>
                <w:rFonts w:ascii="Arial" w:hAnsi="Arial" w:cs="Arial"/>
                <w:sz w:val="22"/>
                <w:szCs w:val="22"/>
              </w:rPr>
            </w:pPr>
            <w:r w:rsidRPr="00BF1868">
              <w:rPr>
                <w:rFonts w:ascii="Arial" w:hAnsi="Arial" w:cs="Arial"/>
                <w:sz w:val="22"/>
                <w:szCs w:val="22"/>
              </w:rPr>
              <w:t>2011</w:t>
            </w:r>
          </w:p>
        </w:tc>
        <w:tc>
          <w:tcPr>
            <w:tcW w:w="1530" w:type="dxa"/>
            <w:tcBorders>
              <w:top w:val="nil"/>
              <w:left w:val="nil"/>
              <w:bottom w:val="nil"/>
              <w:right w:val="nil"/>
            </w:tcBorders>
          </w:tcPr>
          <w:p w:rsidR="00A40982" w:rsidRPr="00BF1868" w:rsidRDefault="00A40982" w:rsidP="00183327">
            <w:pPr>
              <w:jc w:val="right"/>
              <w:rPr>
                <w:rFonts w:ascii="Arial" w:hAnsi="Arial" w:cs="Arial"/>
                <w:sz w:val="22"/>
                <w:szCs w:val="22"/>
              </w:rPr>
            </w:pPr>
            <w:r w:rsidRPr="00BF1868">
              <w:rPr>
                <w:rFonts w:ascii="Arial" w:hAnsi="Arial" w:cs="Arial"/>
                <w:sz w:val="22"/>
                <w:szCs w:val="22"/>
              </w:rPr>
              <w:t>4</w:t>
            </w:r>
            <w:r>
              <w:rPr>
                <w:rFonts w:ascii="Arial" w:hAnsi="Arial" w:cs="Arial"/>
                <w:sz w:val="22"/>
                <w:szCs w:val="22"/>
              </w:rPr>
              <w:t>,</w:t>
            </w:r>
            <w:r w:rsidRPr="00BF1868">
              <w:rPr>
                <w:rFonts w:ascii="Arial" w:hAnsi="Arial" w:cs="Arial"/>
                <w:sz w:val="22"/>
                <w:szCs w:val="22"/>
              </w:rPr>
              <w:t>39</w:t>
            </w:r>
            <w:r>
              <w:rPr>
                <w:rFonts w:ascii="Arial" w:hAnsi="Arial" w:cs="Arial"/>
                <w:sz w:val="22"/>
                <w:szCs w:val="22"/>
              </w:rPr>
              <w:t>8,623</w:t>
            </w:r>
          </w:p>
        </w:tc>
        <w:tc>
          <w:tcPr>
            <w:tcW w:w="1440" w:type="dxa"/>
            <w:tcBorders>
              <w:top w:val="nil"/>
              <w:left w:val="nil"/>
              <w:bottom w:val="nil"/>
              <w:right w:val="nil"/>
            </w:tcBorders>
          </w:tcPr>
          <w:p w:rsidR="00A40982" w:rsidRPr="00BF1868" w:rsidRDefault="00A40982" w:rsidP="00183327">
            <w:pPr>
              <w:jc w:val="right"/>
              <w:rPr>
                <w:rFonts w:ascii="Arial" w:hAnsi="Arial" w:cs="Arial"/>
                <w:sz w:val="22"/>
                <w:szCs w:val="22"/>
              </w:rPr>
            </w:pPr>
            <w:r w:rsidRPr="00BF1868">
              <w:rPr>
                <w:rFonts w:ascii="Arial" w:hAnsi="Arial" w:cs="Arial"/>
                <w:sz w:val="22"/>
                <w:szCs w:val="22"/>
              </w:rPr>
              <w:t>2</w:t>
            </w:r>
            <w:r>
              <w:rPr>
                <w:rFonts w:ascii="Arial" w:hAnsi="Arial" w:cs="Arial"/>
                <w:sz w:val="22"/>
                <w:szCs w:val="22"/>
              </w:rPr>
              <w:t>,</w:t>
            </w:r>
            <w:r w:rsidRPr="00BF1868">
              <w:rPr>
                <w:rFonts w:ascii="Arial" w:hAnsi="Arial" w:cs="Arial"/>
                <w:sz w:val="22"/>
                <w:szCs w:val="22"/>
              </w:rPr>
              <w:t>199</w:t>
            </w:r>
            <w:r>
              <w:rPr>
                <w:rFonts w:ascii="Arial" w:hAnsi="Arial" w:cs="Arial"/>
                <w:sz w:val="22"/>
                <w:szCs w:val="22"/>
              </w:rPr>
              <w:t>,312</w:t>
            </w:r>
          </w:p>
        </w:tc>
        <w:tc>
          <w:tcPr>
            <w:tcW w:w="1530" w:type="dxa"/>
            <w:tcBorders>
              <w:top w:val="nil"/>
              <w:left w:val="nil"/>
              <w:bottom w:val="nil"/>
              <w:right w:val="nil"/>
            </w:tcBorders>
          </w:tcPr>
          <w:p w:rsidR="00A40982" w:rsidRPr="00BF1868" w:rsidRDefault="005D4B22" w:rsidP="005D4B22">
            <w:pPr>
              <w:ind w:right="-18"/>
              <w:jc w:val="right"/>
              <w:rPr>
                <w:rFonts w:ascii="Arial" w:hAnsi="Arial" w:cs="Arial"/>
                <w:sz w:val="22"/>
                <w:szCs w:val="22"/>
              </w:rPr>
            </w:pPr>
            <w:r>
              <w:rPr>
                <w:rFonts w:ascii="Arial" w:hAnsi="Arial" w:cs="Arial"/>
                <w:sz w:val="22"/>
                <w:szCs w:val="22"/>
              </w:rPr>
              <w:t xml:space="preserve">     </w:t>
            </w:r>
            <w:r w:rsidR="00A40982">
              <w:rPr>
                <w:rFonts w:ascii="Arial" w:hAnsi="Arial" w:cs="Arial"/>
                <w:sz w:val="22"/>
                <w:szCs w:val="22"/>
              </w:rPr>
              <w:t>2,</w:t>
            </w:r>
            <w:r w:rsidR="00A40982" w:rsidRPr="00BF1868">
              <w:rPr>
                <w:rFonts w:ascii="Arial" w:hAnsi="Arial" w:cs="Arial"/>
                <w:sz w:val="22"/>
                <w:szCs w:val="22"/>
              </w:rPr>
              <w:t>000</w:t>
            </w:r>
            <w:r w:rsidR="00A40982">
              <w:rPr>
                <w:rFonts w:ascii="Arial" w:hAnsi="Arial" w:cs="Arial"/>
                <w:sz w:val="22"/>
                <w:szCs w:val="22"/>
              </w:rPr>
              <w:t>,000</w:t>
            </w:r>
          </w:p>
        </w:tc>
        <w:tc>
          <w:tcPr>
            <w:tcW w:w="1440" w:type="dxa"/>
            <w:tcBorders>
              <w:top w:val="nil"/>
              <w:left w:val="nil"/>
              <w:bottom w:val="nil"/>
              <w:right w:val="nil"/>
            </w:tcBorders>
          </w:tcPr>
          <w:p w:rsidR="00A40982" w:rsidRPr="00BF1868" w:rsidRDefault="00984A3F" w:rsidP="005D4B22">
            <w:pPr>
              <w:ind w:right="-18"/>
              <w:jc w:val="right"/>
              <w:rPr>
                <w:rFonts w:ascii="Arial" w:hAnsi="Arial" w:cs="Arial"/>
                <w:sz w:val="22"/>
                <w:szCs w:val="22"/>
              </w:rPr>
            </w:pPr>
            <w:r>
              <w:rPr>
                <w:rFonts w:ascii="Arial" w:hAnsi="Arial" w:cs="Arial"/>
                <w:sz w:val="22"/>
                <w:szCs w:val="22"/>
              </w:rPr>
              <w:t xml:space="preserve">       </w:t>
            </w:r>
            <w:r w:rsidR="00A40982" w:rsidRPr="00BF1868">
              <w:rPr>
                <w:rFonts w:ascii="Arial" w:hAnsi="Arial" w:cs="Arial"/>
                <w:sz w:val="22"/>
                <w:szCs w:val="22"/>
              </w:rPr>
              <w:t>199</w:t>
            </w:r>
            <w:r w:rsidR="00A40982">
              <w:rPr>
                <w:rFonts w:ascii="Arial" w:hAnsi="Arial" w:cs="Arial"/>
                <w:sz w:val="22"/>
                <w:szCs w:val="22"/>
              </w:rPr>
              <w:t>,311</w:t>
            </w:r>
          </w:p>
        </w:tc>
      </w:tr>
      <w:tr w:rsidR="00A40982" w:rsidRPr="00BF1868" w:rsidTr="00E978FB">
        <w:tc>
          <w:tcPr>
            <w:tcW w:w="1890" w:type="dxa"/>
            <w:tcBorders>
              <w:top w:val="nil"/>
              <w:left w:val="nil"/>
              <w:bottom w:val="nil"/>
              <w:right w:val="nil"/>
            </w:tcBorders>
          </w:tcPr>
          <w:p w:rsidR="00A40982" w:rsidRPr="00BF1868" w:rsidRDefault="00A40982" w:rsidP="00FA7DEE">
            <w:pPr>
              <w:jc w:val="center"/>
              <w:rPr>
                <w:rFonts w:ascii="Arial" w:hAnsi="Arial" w:cs="Arial"/>
                <w:sz w:val="22"/>
                <w:szCs w:val="22"/>
              </w:rPr>
            </w:pPr>
            <w:r w:rsidRPr="00BF1868">
              <w:rPr>
                <w:rFonts w:ascii="Arial" w:hAnsi="Arial" w:cs="Arial"/>
                <w:sz w:val="22"/>
                <w:szCs w:val="22"/>
              </w:rPr>
              <w:t>2012</w:t>
            </w:r>
          </w:p>
        </w:tc>
        <w:tc>
          <w:tcPr>
            <w:tcW w:w="1530" w:type="dxa"/>
            <w:tcBorders>
              <w:top w:val="nil"/>
              <w:left w:val="nil"/>
              <w:bottom w:val="nil"/>
              <w:right w:val="nil"/>
            </w:tcBorders>
          </w:tcPr>
          <w:p w:rsidR="00A40982" w:rsidRPr="00BF1868" w:rsidRDefault="00A40982" w:rsidP="00183327">
            <w:pPr>
              <w:jc w:val="right"/>
              <w:rPr>
                <w:rFonts w:ascii="Arial" w:hAnsi="Arial" w:cs="Arial"/>
                <w:sz w:val="22"/>
                <w:szCs w:val="22"/>
              </w:rPr>
            </w:pPr>
            <w:r w:rsidRPr="00BF1868">
              <w:rPr>
                <w:rFonts w:ascii="Arial" w:hAnsi="Arial" w:cs="Arial"/>
                <w:sz w:val="22"/>
                <w:szCs w:val="22"/>
              </w:rPr>
              <w:t>6</w:t>
            </w:r>
            <w:r>
              <w:rPr>
                <w:rFonts w:ascii="Arial" w:hAnsi="Arial" w:cs="Arial"/>
                <w:sz w:val="22"/>
                <w:szCs w:val="22"/>
              </w:rPr>
              <w:t>,</w:t>
            </w:r>
            <w:r w:rsidRPr="00BF1868">
              <w:rPr>
                <w:rFonts w:ascii="Arial" w:hAnsi="Arial" w:cs="Arial"/>
                <w:sz w:val="22"/>
                <w:szCs w:val="22"/>
              </w:rPr>
              <w:t>482</w:t>
            </w:r>
            <w:r>
              <w:rPr>
                <w:rFonts w:ascii="Arial" w:hAnsi="Arial" w:cs="Arial"/>
                <w:sz w:val="22"/>
                <w:szCs w:val="22"/>
              </w:rPr>
              <w:t>,088</w:t>
            </w:r>
          </w:p>
        </w:tc>
        <w:tc>
          <w:tcPr>
            <w:tcW w:w="1440" w:type="dxa"/>
            <w:tcBorders>
              <w:top w:val="nil"/>
              <w:left w:val="nil"/>
              <w:bottom w:val="nil"/>
              <w:right w:val="nil"/>
            </w:tcBorders>
          </w:tcPr>
          <w:p w:rsidR="00A40982" w:rsidRPr="00BF1868" w:rsidRDefault="00A40982" w:rsidP="00183327">
            <w:pPr>
              <w:jc w:val="right"/>
              <w:rPr>
                <w:rFonts w:ascii="Arial" w:hAnsi="Arial" w:cs="Arial"/>
                <w:sz w:val="22"/>
                <w:szCs w:val="22"/>
              </w:rPr>
            </w:pPr>
            <w:r w:rsidRPr="00BF1868">
              <w:rPr>
                <w:rFonts w:ascii="Arial" w:hAnsi="Arial" w:cs="Arial"/>
                <w:sz w:val="22"/>
                <w:szCs w:val="22"/>
              </w:rPr>
              <w:t>3</w:t>
            </w:r>
            <w:r>
              <w:rPr>
                <w:rFonts w:ascii="Arial" w:hAnsi="Arial" w:cs="Arial"/>
                <w:sz w:val="22"/>
                <w:szCs w:val="22"/>
              </w:rPr>
              <w:t>,</w:t>
            </w:r>
            <w:r w:rsidRPr="00BF1868">
              <w:rPr>
                <w:rFonts w:ascii="Arial" w:hAnsi="Arial" w:cs="Arial"/>
                <w:sz w:val="22"/>
                <w:szCs w:val="22"/>
              </w:rPr>
              <w:t>241</w:t>
            </w:r>
            <w:r>
              <w:rPr>
                <w:rFonts w:ascii="Arial" w:hAnsi="Arial" w:cs="Arial"/>
                <w:sz w:val="22"/>
                <w:szCs w:val="22"/>
              </w:rPr>
              <w:t>,044</w:t>
            </w:r>
          </w:p>
        </w:tc>
        <w:tc>
          <w:tcPr>
            <w:tcW w:w="1530" w:type="dxa"/>
            <w:tcBorders>
              <w:top w:val="nil"/>
              <w:left w:val="nil"/>
              <w:bottom w:val="nil"/>
              <w:right w:val="nil"/>
            </w:tcBorders>
          </w:tcPr>
          <w:p w:rsidR="00A40982" w:rsidRPr="00BF1868" w:rsidRDefault="00984A3F" w:rsidP="005D4B22">
            <w:pPr>
              <w:jc w:val="right"/>
              <w:rPr>
                <w:rFonts w:ascii="Arial" w:hAnsi="Arial" w:cs="Arial"/>
                <w:sz w:val="22"/>
                <w:szCs w:val="22"/>
              </w:rPr>
            </w:pPr>
            <w:r>
              <w:rPr>
                <w:rFonts w:ascii="Arial" w:hAnsi="Arial" w:cs="Arial"/>
                <w:sz w:val="22"/>
                <w:szCs w:val="22"/>
              </w:rPr>
              <w:t xml:space="preserve">     </w:t>
            </w:r>
            <w:r w:rsidR="00A40982" w:rsidRPr="00BF1868">
              <w:rPr>
                <w:rFonts w:ascii="Arial" w:hAnsi="Arial" w:cs="Arial"/>
                <w:sz w:val="22"/>
                <w:szCs w:val="22"/>
              </w:rPr>
              <w:t>3</w:t>
            </w:r>
            <w:r w:rsidR="00A40982">
              <w:rPr>
                <w:rFonts w:ascii="Arial" w:hAnsi="Arial" w:cs="Arial"/>
                <w:sz w:val="22"/>
                <w:szCs w:val="22"/>
              </w:rPr>
              <w:t>,</w:t>
            </w:r>
            <w:r w:rsidR="00A40982" w:rsidRPr="00BF1868">
              <w:rPr>
                <w:rFonts w:ascii="Arial" w:hAnsi="Arial" w:cs="Arial"/>
                <w:sz w:val="22"/>
                <w:szCs w:val="22"/>
              </w:rPr>
              <w:t>000</w:t>
            </w:r>
            <w:r w:rsidR="00A40982">
              <w:rPr>
                <w:rFonts w:ascii="Arial" w:hAnsi="Arial" w:cs="Arial"/>
                <w:sz w:val="22"/>
                <w:szCs w:val="22"/>
              </w:rPr>
              <w:t>,000</w:t>
            </w:r>
          </w:p>
        </w:tc>
        <w:tc>
          <w:tcPr>
            <w:tcW w:w="1440" w:type="dxa"/>
            <w:tcBorders>
              <w:top w:val="nil"/>
              <w:left w:val="nil"/>
              <w:bottom w:val="nil"/>
              <w:right w:val="nil"/>
            </w:tcBorders>
          </w:tcPr>
          <w:p w:rsidR="00A40982" w:rsidRPr="00BF1868" w:rsidRDefault="00984A3F" w:rsidP="005D4B22">
            <w:pPr>
              <w:ind w:right="-18"/>
              <w:jc w:val="right"/>
              <w:rPr>
                <w:rFonts w:ascii="Arial" w:hAnsi="Arial" w:cs="Arial"/>
                <w:sz w:val="22"/>
                <w:szCs w:val="22"/>
              </w:rPr>
            </w:pPr>
            <w:r>
              <w:rPr>
                <w:rFonts w:ascii="Arial" w:hAnsi="Arial" w:cs="Arial"/>
                <w:sz w:val="22"/>
                <w:szCs w:val="22"/>
              </w:rPr>
              <w:t xml:space="preserve">       </w:t>
            </w:r>
            <w:r w:rsidR="00A40982" w:rsidRPr="00BF1868">
              <w:rPr>
                <w:rFonts w:ascii="Arial" w:hAnsi="Arial" w:cs="Arial"/>
                <w:sz w:val="22"/>
                <w:szCs w:val="22"/>
              </w:rPr>
              <w:t>241</w:t>
            </w:r>
            <w:r w:rsidR="00A40982">
              <w:rPr>
                <w:rFonts w:ascii="Arial" w:hAnsi="Arial" w:cs="Arial"/>
                <w:sz w:val="22"/>
                <w:szCs w:val="22"/>
              </w:rPr>
              <w:t>,044</w:t>
            </w:r>
          </w:p>
        </w:tc>
      </w:tr>
      <w:tr w:rsidR="00E978FB" w:rsidRPr="00BF1868" w:rsidTr="005D4B22">
        <w:tc>
          <w:tcPr>
            <w:tcW w:w="1890" w:type="dxa"/>
            <w:tcBorders>
              <w:top w:val="nil"/>
              <w:left w:val="nil"/>
              <w:bottom w:val="nil"/>
              <w:right w:val="nil"/>
            </w:tcBorders>
          </w:tcPr>
          <w:p w:rsidR="00E978FB" w:rsidRPr="00BF1868" w:rsidRDefault="00183327" w:rsidP="00FA7DEE">
            <w:pPr>
              <w:jc w:val="center"/>
              <w:rPr>
                <w:rFonts w:ascii="Arial" w:hAnsi="Arial" w:cs="Arial"/>
                <w:sz w:val="22"/>
                <w:szCs w:val="22"/>
              </w:rPr>
            </w:pPr>
            <w:r>
              <w:rPr>
                <w:rFonts w:ascii="Arial" w:hAnsi="Arial" w:cs="Arial"/>
                <w:sz w:val="22"/>
                <w:szCs w:val="22"/>
              </w:rPr>
              <w:t>2013</w:t>
            </w:r>
          </w:p>
        </w:tc>
        <w:tc>
          <w:tcPr>
            <w:tcW w:w="1530" w:type="dxa"/>
            <w:tcBorders>
              <w:top w:val="nil"/>
              <w:left w:val="nil"/>
              <w:bottom w:val="nil"/>
              <w:right w:val="nil"/>
            </w:tcBorders>
          </w:tcPr>
          <w:p w:rsidR="00E978FB" w:rsidRPr="00BF1868" w:rsidRDefault="00183327" w:rsidP="00183327">
            <w:pPr>
              <w:jc w:val="right"/>
              <w:rPr>
                <w:rFonts w:ascii="Arial" w:hAnsi="Arial" w:cs="Arial"/>
                <w:sz w:val="22"/>
                <w:szCs w:val="22"/>
              </w:rPr>
            </w:pPr>
            <w:r>
              <w:rPr>
                <w:rFonts w:ascii="Arial" w:hAnsi="Arial" w:cs="Arial"/>
                <w:sz w:val="22"/>
                <w:szCs w:val="22"/>
              </w:rPr>
              <w:t>3,971,710</w:t>
            </w:r>
          </w:p>
        </w:tc>
        <w:tc>
          <w:tcPr>
            <w:tcW w:w="1440" w:type="dxa"/>
            <w:tcBorders>
              <w:top w:val="nil"/>
              <w:left w:val="nil"/>
              <w:bottom w:val="nil"/>
              <w:right w:val="nil"/>
            </w:tcBorders>
          </w:tcPr>
          <w:p w:rsidR="00E978FB" w:rsidRPr="00BF1868" w:rsidRDefault="00183327" w:rsidP="00183327">
            <w:pPr>
              <w:jc w:val="right"/>
              <w:rPr>
                <w:rFonts w:ascii="Arial" w:hAnsi="Arial" w:cs="Arial"/>
                <w:sz w:val="22"/>
                <w:szCs w:val="22"/>
              </w:rPr>
            </w:pPr>
            <w:r>
              <w:rPr>
                <w:rFonts w:ascii="Arial" w:hAnsi="Arial" w:cs="Arial"/>
                <w:sz w:val="22"/>
                <w:szCs w:val="22"/>
              </w:rPr>
              <w:t>1,985,855</w:t>
            </w:r>
          </w:p>
        </w:tc>
        <w:tc>
          <w:tcPr>
            <w:tcW w:w="1530" w:type="dxa"/>
            <w:tcBorders>
              <w:top w:val="nil"/>
              <w:left w:val="nil"/>
              <w:bottom w:val="nil"/>
              <w:right w:val="nil"/>
            </w:tcBorders>
          </w:tcPr>
          <w:p w:rsidR="00E978FB" w:rsidRPr="00BF1868" w:rsidRDefault="005D4B22" w:rsidP="005D4B22">
            <w:pPr>
              <w:jc w:val="right"/>
              <w:rPr>
                <w:rFonts w:ascii="Arial" w:hAnsi="Arial" w:cs="Arial"/>
                <w:sz w:val="22"/>
                <w:szCs w:val="22"/>
              </w:rPr>
            </w:pPr>
            <w:r>
              <w:rPr>
                <w:rFonts w:ascii="Arial" w:hAnsi="Arial" w:cs="Arial"/>
                <w:sz w:val="22"/>
                <w:szCs w:val="22"/>
              </w:rPr>
              <w:t xml:space="preserve">                  </w:t>
            </w:r>
            <w:r w:rsidR="00984A3F">
              <w:rPr>
                <w:rFonts w:ascii="Arial" w:hAnsi="Arial" w:cs="Arial"/>
                <w:sz w:val="22"/>
                <w:szCs w:val="22"/>
              </w:rPr>
              <w:t>0</w:t>
            </w:r>
          </w:p>
        </w:tc>
        <w:tc>
          <w:tcPr>
            <w:tcW w:w="1440" w:type="dxa"/>
            <w:tcBorders>
              <w:top w:val="nil"/>
              <w:left w:val="nil"/>
              <w:bottom w:val="nil"/>
              <w:right w:val="nil"/>
            </w:tcBorders>
          </w:tcPr>
          <w:p w:rsidR="00E978FB" w:rsidRPr="00BF1868" w:rsidRDefault="00256C58" w:rsidP="005D4B22">
            <w:pPr>
              <w:ind w:right="-18"/>
              <w:jc w:val="right"/>
              <w:rPr>
                <w:rFonts w:ascii="Arial" w:hAnsi="Arial" w:cs="Arial"/>
                <w:sz w:val="22"/>
                <w:szCs w:val="22"/>
              </w:rPr>
            </w:pPr>
            <w:r>
              <w:rPr>
                <w:rFonts w:ascii="Arial" w:hAnsi="Arial" w:cs="Arial"/>
                <w:sz w:val="22"/>
                <w:szCs w:val="22"/>
              </w:rPr>
              <w:t xml:space="preserve">    </w:t>
            </w:r>
            <w:r w:rsidR="00183327">
              <w:rPr>
                <w:rFonts w:ascii="Arial" w:hAnsi="Arial" w:cs="Arial"/>
                <w:sz w:val="22"/>
                <w:szCs w:val="22"/>
              </w:rPr>
              <w:t>1,985,855</w:t>
            </w:r>
          </w:p>
        </w:tc>
      </w:tr>
      <w:tr w:rsidR="00E978FB" w:rsidRPr="00BF1868" w:rsidTr="005D4B22">
        <w:tc>
          <w:tcPr>
            <w:tcW w:w="1890" w:type="dxa"/>
            <w:tcBorders>
              <w:top w:val="nil"/>
              <w:left w:val="nil"/>
              <w:bottom w:val="single" w:sz="4" w:space="0" w:color="auto"/>
              <w:right w:val="nil"/>
            </w:tcBorders>
          </w:tcPr>
          <w:p w:rsidR="00E978FB" w:rsidRPr="00BF1868" w:rsidRDefault="00183327" w:rsidP="00FA7DEE">
            <w:pPr>
              <w:jc w:val="center"/>
              <w:rPr>
                <w:rFonts w:ascii="Arial" w:hAnsi="Arial" w:cs="Arial"/>
                <w:sz w:val="22"/>
                <w:szCs w:val="22"/>
              </w:rPr>
            </w:pPr>
            <w:r>
              <w:rPr>
                <w:rFonts w:ascii="Arial" w:hAnsi="Arial" w:cs="Arial"/>
                <w:sz w:val="22"/>
                <w:szCs w:val="22"/>
              </w:rPr>
              <w:t>2014</w:t>
            </w:r>
          </w:p>
        </w:tc>
        <w:tc>
          <w:tcPr>
            <w:tcW w:w="1530" w:type="dxa"/>
            <w:tcBorders>
              <w:top w:val="nil"/>
              <w:left w:val="nil"/>
              <w:bottom w:val="single" w:sz="4" w:space="0" w:color="auto"/>
              <w:right w:val="nil"/>
            </w:tcBorders>
          </w:tcPr>
          <w:p w:rsidR="00E978FB" w:rsidRPr="00BF1868" w:rsidRDefault="00183327" w:rsidP="00183327">
            <w:pPr>
              <w:jc w:val="right"/>
              <w:rPr>
                <w:rFonts w:ascii="Arial" w:hAnsi="Arial" w:cs="Arial"/>
                <w:sz w:val="22"/>
                <w:szCs w:val="22"/>
              </w:rPr>
            </w:pPr>
            <w:r>
              <w:rPr>
                <w:rFonts w:ascii="Arial" w:hAnsi="Arial" w:cs="Arial"/>
                <w:sz w:val="22"/>
                <w:szCs w:val="22"/>
              </w:rPr>
              <w:t>7,955,306</w:t>
            </w:r>
          </w:p>
        </w:tc>
        <w:tc>
          <w:tcPr>
            <w:tcW w:w="1440" w:type="dxa"/>
            <w:tcBorders>
              <w:top w:val="nil"/>
              <w:left w:val="nil"/>
              <w:bottom w:val="single" w:sz="4" w:space="0" w:color="auto"/>
              <w:right w:val="nil"/>
            </w:tcBorders>
          </w:tcPr>
          <w:p w:rsidR="00E978FB" w:rsidRPr="00BF1868" w:rsidRDefault="00183327" w:rsidP="00183327">
            <w:pPr>
              <w:jc w:val="right"/>
              <w:rPr>
                <w:rFonts w:ascii="Arial" w:hAnsi="Arial" w:cs="Arial"/>
                <w:sz w:val="22"/>
                <w:szCs w:val="22"/>
              </w:rPr>
            </w:pPr>
            <w:r>
              <w:rPr>
                <w:rFonts w:ascii="Arial" w:hAnsi="Arial" w:cs="Arial"/>
                <w:sz w:val="22"/>
                <w:szCs w:val="22"/>
              </w:rPr>
              <w:t>3,977,653</w:t>
            </w:r>
          </w:p>
        </w:tc>
        <w:tc>
          <w:tcPr>
            <w:tcW w:w="1530" w:type="dxa"/>
            <w:tcBorders>
              <w:top w:val="nil"/>
              <w:left w:val="nil"/>
              <w:bottom w:val="single" w:sz="4" w:space="0" w:color="auto"/>
              <w:right w:val="nil"/>
            </w:tcBorders>
          </w:tcPr>
          <w:p w:rsidR="00E978FB" w:rsidRPr="00BF1868" w:rsidRDefault="005D4B22" w:rsidP="005D4B22">
            <w:pPr>
              <w:jc w:val="right"/>
              <w:rPr>
                <w:rFonts w:ascii="Arial" w:hAnsi="Arial" w:cs="Arial"/>
                <w:sz w:val="22"/>
                <w:szCs w:val="22"/>
              </w:rPr>
            </w:pPr>
            <w:r>
              <w:rPr>
                <w:rFonts w:ascii="Arial" w:hAnsi="Arial" w:cs="Arial"/>
                <w:sz w:val="22"/>
                <w:szCs w:val="22"/>
              </w:rPr>
              <w:t xml:space="preserve">                  </w:t>
            </w:r>
            <w:r w:rsidR="00984A3F">
              <w:rPr>
                <w:rFonts w:ascii="Arial" w:hAnsi="Arial" w:cs="Arial"/>
                <w:sz w:val="22"/>
                <w:szCs w:val="22"/>
              </w:rPr>
              <w:t>0</w:t>
            </w:r>
          </w:p>
        </w:tc>
        <w:tc>
          <w:tcPr>
            <w:tcW w:w="1440" w:type="dxa"/>
            <w:tcBorders>
              <w:top w:val="nil"/>
              <w:left w:val="nil"/>
              <w:bottom w:val="single" w:sz="4" w:space="0" w:color="auto"/>
              <w:right w:val="nil"/>
            </w:tcBorders>
          </w:tcPr>
          <w:p w:rsidR="00E978FB" w:rsidRPr="00BF1868" w:rsidRDefault="00256C58" w:rsidP="005D4B22">
            <w:pPr>
              <w:ind w:right="-18"/>
              <w:jc w:val="right"/>
              <w:rPr>
                <w:rFonts w:ascii="Arial" w:hAnsi="Arial" w:cs="Arial"/>
                <w:sz w:val="22"/>
                <w:szCs w:val="22"/>
              </w:rPr>
            </w:pPr>
            <w:r>
              <w:rPr>
                <w:rFonts w:ascii="Arial" w:hAnsi="Arial" w:cs="Arial"/>
                <w:sz w:val="22"/>
                <w:szCs w:val="22"/>
              </w:rPr>
              <w:t xml:space="preserve">    </w:t>
            </w:r>
            <w:r w:rsidR="00183327">
              <w:rPr>
                <w:rFonts w:ascii="Arial" w:hAnsi="Arial" w:cs="Arial"/>
                <w:sz w:val="22"/>
                <w:szCs w:val="22"/>
              </w:rPr>
              <w:t>3,977,306</w:t>
            </w:r>
          </w:p>
        </w:tc>
      </w:tr>
      <w:tr w:rsidR="005D4B22" w:rsidRPr="00BF1868" w:rsidTr="005D4B22">
        <w:tc>
          <w:tcPr>
            <w:tcW w:w="1890" w:type="dxa"/>
            <w:tcBorders>
              <w:top w:val="single" w:sz="4" w:space="0" w:color="auto"/>
              <w:left w:val="nil"/>
              <w:bottom w:val="nil"/>
              <w:right w:val="nil"/>
            </w:tcBorders>
          </w:tcPr>
          <w:p w:rsidR="005D4B22" w:rsidRDefault="005D4B22" w:rsidP="00FA7DEE">
            <w:pPr>
              <w:jc w:val="center"/>
              <w:rPr>
                <w:rFonts w:ascii="Arial" w:hAnsi="Arial" w:cs="Arial"/>
                <w:sz w:val="22"/>
                <w:szCs w:val="22"/>
              </w:rPr>
            </w:pPr>
          </w:p>
        </w:tc>
        <w:tc>
          <w:tcPr>
            <w:tcW w:w="1530" w:type="dxa"/>
            <w:tcBorders>
              <w:top w:val="single" w:sz="4" w:space="0" w:color="auto"/>
              <w:left w:val="nil"/>
              <w:bottom w:val="nil"/>
              <w:right w:val="nil"/>
            </w:tcBorders>
          </w:tcPr>
          <w:p w:rsidR="005D4B22" w:rsidRDefault="005D4B22" w:rsidP="00183327">
            <w:pPr>
              <w:jc w:val="right"/>
              <w:rPr>
                <w:rFonts w:ascii="Arial" w:hAnsi="Arial" w:cs="Arial"/>
                <w:sz w:val="22"/>
                <w:szCs w:val="22"/>
              </w:rPr>
            </w:pPr>
          </w:p>
        </w:tc>
        <w:tc>
          <w:tcPr>
            <w:tcW w:w="1440" w:type="dxa"/>
            <w:tcBorders>
              <w:top w:val="single" w:sz="4" w:space="0" w:color="auto"/>
              <w:left w:val="nil"/>
              <w:bottom w:val="nil"/>
              <w:right w:val="nil"/>
            </w:tcBorders>
          </w:tcPr>
          <w:p w:rsidR="005D4B22" w:rsidRDefault="005D4B22" w:rsidP="00183327">
            <w:pPr>
              <w:jc w:val="right"/>
              <w:rPr>
                <w:rFonts w:ascii="Arial" w:hAnsi="Arial" w:cs="Arial"/>
                <w:sz w:val="22"/>
                <w:szCs w:val="22"/>
              </w:rPr>
            </w:pPr>
          </w:p>
        </w:tc>
        <w:tc>
          <w:tcPr>
            <w:tcW w:w="1530" w:type="dxa"/>
            <w:tcBorders>
              <w:top w:val="single" w:sz="4" w:space="0" w:color="auto"/>
              <w:left w:val="nil"/>
              <w:bottom w:val="nil"/>
              <w:right w:val="nil"/>
            </w:tcBorders>
          </w:tcPr>
          <w:p w:rsidR="005D4B22" w:rsidRDefault="005D4B22" w:rsidP="00984A3F">
            <w:pPr>
              <w:jc w:val="left"/>
              <w:rPr>
                <w:rFonts w:ascii="Arial" w:hAnsi="Arial" w:cs="Arial"/>
                <w:sz w:val="22"/>
                <w:szCs w:val="22"/>
              </w:rPr>
            </w:pPr>
          </w:p>
        </w:tc>
        <w:tc>
          <w:tcPr>
            <w:tcW w:w="1440" w:type="dxa"/>
            <w:tcBorders>
              <w:top w:val="single" w:sz="4" w:space="0" w:color="auto"/>
              <w:left w:val="nil"/>
              <w:bottom w:val="nil"/>
              <w:right w:val="nil"/>
            </w:tcBorders>
          </w:tcPr>
          <w:p w:rsidR="005D4B22" w:rsidRDefault="005D4B22" w:rsidP="00256C58">
            <w:pPr>
              <w:jc w:val="left"/>
              <w:rPr>
                <w:rFonts w:ascii="Arial" w:hAnsi="Arial" w:cs="Arial"/>
                <w:sz w:val="22"/>
                <w:szCs w:val="22"/>
              </w:rPr>
            </w:pPr>
          </w:p>
        </w:tc>
      </w:tr>
      <w:tr w:rsidR="005D4B22" w:rsidRPr="00BF1868" w:rsidTr="005D4B22">
        <w:tc>
          <w:tcPr>
            <w:tcW w:w="1890" w:type="dxa"/>
            <w:tcBorders>
              <w:top w:val="nil"/>
              <w:left w:val="nil"/>
              <w:bottom w:val="double" w:sz="4" w:space="0" w:color="auto"/>
              <w:right w:val="nil"/>
            </w:tcBorders>
          </w:tcPr>
          <w:p w:rsidR="005D4B22" w:rsidRPr="00276F86" w:rsidRDefault="005D4B22" w:rsidP="00FA7DEE">
            <w:pPr>
              <w:jc w:val="center"/>
              <w:rPr>
                <w:rFonts w:ascii="Arial" w:hAnsi="Arial" w:cs="Arial"/>
                <w:b/>
                <w:sz w:val="22"/>
                <w:szCs w:val="22"/>
              </w:rPr>
            </w:pPr>
            <w:r w:rsidRPr="00276F86">
              <w:rPr>
                <w:rFonts w:ascii="Arial" w:hAnsi="Arial" w:cs="Arial"/>
                <w:b/>
                <w:sz w:val="22"/>
                <w:szCs w:val="22"/>
              </w:rPr>
              <w:t>Total</w:t>
            </w:r>
          </w:p>
        </w:tc>
        <w:tc>
          <w:tcPr>
            <w:tcW w:w="1530" w:type="dxa"/>
            <w:tcBorders>
              <w:top w:val="nil"/>
              <w:left w:val="nil"/>
              <w:bottom w:val="double" w:sz="4" w:space="0" w:color="auto"/>
              <w:right w:val="nil"/>
            </w:tcBorders>
          </w:tcPr>
          <w:p w:rsidR="005D4B22" w:rsidRPr="00276F86" w:rsidRDefault="005D4B22" w:rsidP="00183327">
            <w:pPr>
              <w:jc w:val="right"/>
              <w:rPr>
                <w:rFonts w:ascii="Arial" w:hAnsi="Arial" w:cs="Arial"/>
                <w:b/>
                <w:sz w:val="22"/>
                <w:szCs w:val="22"/>
              </w:rPr>
            </w:pPr>
            <w:r w:rsidRPr="00276F86">
              <w:rPr>
                <w:rFonts w:ascii="Arial" w:hAnsi="Arial" w:cs="Arial"/>
                <w:b/>
                <w:sz w:val="22"/>
                <w:szCs w:val="22"/>
              </w:rPr>
              <w:t>22,807,727</w:t>
            </w:r>
          </w:p>
        </w:tc>
        <w:tc>
          <w:tcPr>
            <w:tcW w:w="1440" w:type="dxa"/>
            <w:tcBorders>
              <w:top w:val="nil"/>
              <w:left w:val="nil"/>
              <w:bottom w:val="double" w:sz="4" w:space="0" w:color="auto"/>
              <w:right w:val="nil"/>
            </w:tcBorders>
          </w:tcPr>
          <w:p w:rsidR="005D4B22" w:rsidRPr="00276F86" w:rsidRDefault="005D4B22" w:rsidP="00183327">
            <w:pPr>
              <w:jc w:val="right"/>
              <w:rPr>
                <w:rFonts w:ascii="Arial" w:hAnsi="Arial" w:cs="Arial"/>
                <w:b/>
                <w:sz w:val="22"/>
                <w:szCs w:val="22"/>
              </w:rPr>
            </w:pPr>
            <w:r w:rsidRPr="00276F86">
              <w:rPr>
                <w:rFonts w:ascii="Arial" w:hAnsi="Arial" w:cs="Arial"/>
                <w:b/>
                <w:sz w:val="22"/>
                <w:szCs w:val="22"/>
              </w:rPr>
              <w:t>11,403,864</w:t>
            </w:r>
          </w:p>
        </w:tc>
        <w:tc>
          <w:tcPr>
            <w:tcW w:w="1530" w:type="dxa"/>
            <w:tcBorders>
              <w:top w:val="nil"/>
              <w:left w:val="nil"/>
              <w:bottom w:val="double" w:sz="4" w:space="0" w:color="auto"/>
              <w:right w:val="nil"/>
            </w:tcBorders>
          </w:tcPr>
          <w:p w:rsidR="005D4B22" w:rsidRPr="00276F86" w:rsidRDefault="005D4B22" w:rsidP="005D4B22">
            <w:pPr>
              <w:jc w:val="right"/>
              <w:rPr>
                <w:rFonts w:ascii="Arial" w:hAnsi="Arial" w:cs="Arial"/>
                <w:b/>
                <w:sz w:val="22"/>
                <w:szCs w:val="22"/>
              </w:rPr>
            </w:pPr>
            <w:r w:rsidRPr="00276F86">
              <w:rPr>
                <w:rFonts w:ascii="Arial" w:hAnsi="Arial" w:cs="Arial"/>
                <w:b/>
                <w:sz w:val="22"/>
                <w:szCs w:val="22"/>
              </w:rPr>
              <w:t>5,000,000</w:t>
            </w:r>
          </w:p>
        </w:tc>
        <w:tc>
          <w:tcPr>
            <w:tcW w:w="1440" w:type="dxa"/>
            <w:tcBorders>
              <w:top w:val="nil"/>
              <w:left w:val="nil"/>
              <w:bottom w:val="double" w:sz="4" w:space="0" w:color="auto"/>
              <w:right w:val="nil"/>
            </w:tcBorders>
          </w:tcPr>
          <w:p w:rsidR="005D4B22" w:rsidRPr="00276F86" w:rsidRDefault="005D4B22" w:rsidP="005D4B22">
            <w:pPr>
              <w:jc w:val="right"/>
              <w:rPr>
                <w:rFonts w:ascii="Arial" w:hAnsi="Arial" w:cs="Arial"/>
                <w:b/>
                <w:sz w:val="22"/>
                <w:szCs w:val="22"/>
              </w:rPr>
            </w:pPr>
            <w:r w:rsidRPr="00276F86">
              <w:rPr>
                <w:rFonts w:ascii="Arial" w:hAnsi="Arial" w:cs="Arial"/>
                <w:b/>
                <w:sz w:val="22"/>
                <w:szCs w:val="22"/>
              </w:rPr>
              <w:t>6,403,516</w:t>
            </w:r>
          </w:p>
        </w:tc>
      </w:tr>
    </w:tbl>
    <w:p w:rsidR="00A40982" w:rsidRDefault="00A40982" w:rsidP="00A40982">
      <w:pPr>
        <w:ind w:left="1800" w:hanging="810"/>
        <w:rPr>
          <w:rFonts w:ascii="Arial" w:hAnsi="Arial" w:cs="Arial"/>
          <w:sz w:val="22"/>
          <w:szCs w:val="22"/>
        </w:rPr>
      </w:pPr>
    </w:p>
    <w:p w:rsidR="007D2C58" w:rsidRDefault="00A40982" w:rsidP="004B18A9">
      <w:pPr>
        <w:ind w:left="360"/>
        <w:rPr>
          <w:rFonts w:ascii="Arial" w:hAnsi="Arial" w:cs="Arial"/>
          <w:sz w:val="22"/>
          <w:szCs w:val="22"/>
        </w:rPr>
      </w:pPr>
      <w:r w:rsidRPr="0059686C">
        <w:rPr>
          <w:rFonts w:ascii="Arial" w:hAnsi="Arial" w:cs="Arial"/>
          <w:sz w:val="22"/>
          <w:szCs w:val="22"/>
        </w:rPr>
        <w:t xml:space="preserve">We recommended that Management </w:t>
      </w:r>
      <w:r w:rsidR="004B18A9">
        <w:rPr>
          <w:rFonts w:ascii="Arial" w:hAnsi="Arial" w:cs="Arial"/>
          <w:sz w:val="22"/>
          <w:szCs w:val="22"/>
        </w:rPr>
        <w:t xml:space="preserve">cause the </w:t>
      </w:r>
      <w:r w:rsidRPr="0059686C">
        <w:rPr>
          <w:rFonts w:ascii="Arial" w:hAnsi="Arial" w:cs="Arial"/>
          <w:sz w:val="22"/>
          <w:szCs w:val="22"/>
        </w:rPr>
        <w:t>remit</w:t>
      </w:r>
      <w:r w:rsidR="004B18A9">
        <w:rPr>
          <w:rFonts w:ascii="Arial" w:hAnsi="Arial" w:cs="Arial"/>
          <w:sz w:val="22"/>
          <w:szCs w:val="22"/>
        </w:rPr>
        <w:t xml:space="preserve">tance of the </w:t>
      </w:r>
      <w:r w:rsidRPr="0059686C">
        <w:rPr>
          <w:rFonts w:ascii="Arial" w:hAnsi="Arial" w:cs="Arial"/>
          <w:sz w:val="22"/>
          <w:szCs w:val="22"/>
        </w:rPr>
        <w:t>dividend</w:t>
      </w:r>
      <w:r w:rsidR="004B18A9">
        <w:rPr>
          <w:rFonts w:ascii="Arial" w:hAnsi="Arial" w:cs="Arial"/>
          <w:sz w:val="22"/>
          <w:szCs w:val="22"/>
        </w:rPr>
        <w:t>s</w:t>
      </w:r>
      <w:r w:rsidRPr="0059686C">
        <w:rPr>
          <w:rFonts w:ascii="Arial" w:hAnsi="Arial" w:cs="Arial"/>
          <w:sz w:val="22"/>
          <w:szCs w:val="22"/>
        </w:rPr>
        <w:t xml:space="preserve"> due to the National Govern</w:t>
      </w:r>
      <w:r w:rsidR="004B18A9">
        <w:rPr>
          <w:rFonts w:ascii="Arial" w:hAnsi="Arial" w:cs="Arial"/>
          <w:sz w:val="22"/>
          <w:szCs w:val="22"/>
        </w:rPr>
        <w:t>ment pursuant to R.A. No. 7656.</w:t>
      </w:r>
    </w:p>
    <w:p w:rsidR="004B18A9" w:rsidRDefault="004B18A9" w:rsidP="004B18A9">
      <w:pPr>
        <w:ind w:left="360"/>
        <w:rPr>
          <w:rFonts w:ascii="Arial" w:hAnsi="Arial" w:cs="Arial"/>
          <w:sz w:val="22"/>
          <w:szCs w:val="22"/>
        </w:rPr>
      </w:pPr>
    </w:p>
    <w:p w:rsidR="00B3355B" w:rsidRDefault="004B18A9" w:rsidP="004B18A9">
      <w:pPr>
        <w:ind w:left="360"/>
        <w:rPr>
          <w:rFonts w:ascii="Arial" w:hAnsi="Arial" w:cs="Arial"/>
          <w:sz w:val="22"/>
          <w:szCs w:val="22"/>
        </w:rPr>
      </w:pPr>
      <w:r>
        <w:rPr>
          <w:rFonts w:ascii="Arial" w:hAnsi="Arial" w:cs="Arial"/>
          <w:sz w:val="22"/>
          <w:szCs w:val="22"/>
        </w:rPr>
        <w:t>According to Management, they will make representations with the Board of Directors for the declaration of dividends for 2013 and 2014 after finalizing their computations to determine the sufficiency of available cash resources.</w:t>
      </w:r>
    </w:p>
    <w:p w:rsidR="004B18A9" w:rsidRDefault="004B18A9" w:rsidP="004B18A9">
      <w:pPr>
        <w:ind w:left="360"/>
        <w:rPr>
          <w:rFonts w:ascii="Arial" w:hAnsi="Arial" w:cs="Arial"/>
          <w:sz w:val="22"/>
          <w:szCs w:val="22"/>
        </w:rPr>
      </w:pPr>
    </w:p>
    <w:p w:rsidR="00276F86" w:rsidRDefault="00276F86" w:rsidP="004B18A9">
      <w:pPr>
        <w:ind w:left="360"/>
        <w:rPr>
          <w:rFonts w:ascii="Arial" w:hAnsi="Arial" w:cs="Arial"/>
          <w:sz w:val="22"/>
          <w:szCs w:val="22"/>
        </w:rPr>
      </w:pPr>
    </w:p>
    <w:p w:rsidR="00B3355B" w:rsidRDefault="00B3355B" w:rsidP="00B3355B">
      <w:pPr>
        <w:numPr>
          <w:ilvl w:val="0"/>
          <w:numId w:val="10"/>
        </w:numPr>
        <w:rPr>
          <w:rFonts w:ascii="Arial" w:hAnsi="Arial" w:cs="Arial"/>
          <w:b/>
          <w:bCs/>
          <w:sz w:val="22"/>
          <w:szCs w:val="22"/>
        </w:rPr>
      </w:pPr>
      <w:r>
        <w:rPr>
          <w:rFonts w:ascii="Arial" w:hAnsi="Arial" w:cs="Arial"/>
          <w:b/>
          <w:bCs/>
          <w:sz w:val="22"/>
          <w:szCs w:val="22"/>
        </w:rPr>
        <w:t>Act</w:t>
      </w:r>
      <w:r w:rsidR="00276F86">
        <w:rPr>
          <w:rFonts w:ascii="Arial" w:hAnsi="Arial" w:cs="Arial"/>
          <w:b/>
          <w:bCs/>
          <w:sz w:val="22"/>
          <w:szCs w:val="22"/>
        </w:rPr>
        <w:t>ual expenses for representation</w:t>
      </w:r>
      <w:r>
        <w:rPr>
          <w:rFonts w:ascii="Arial" w:hAnsi="Arial" w:cs="Arial"/>
          <w:b/>
          <w:bCs/>
          <w:sz w:val="22"/>
          <w:szCs w:val="22"/>
        </w:rPr>
        <w:t>, conference and miscellaneous items     exceeded the combined limits for Extraordinary and M</w:t>
      </w:r>
      <w:r w:rsidR="006C7FEC">
        <w:rPr>
          <w:rFonts w:ascii="Arial" w:hAnsi="Arial" w:cs="Arial"/>
          <w:b/>
          <w:bCs/>
          <w:sz w:val="22"/>
          <w:szCs w:val="22"/>
        </w:rPr>
        <w:t>iscellaneous Expenses EME) by P</w:t>
      </w:r>
      <w:r>
        <w:rPr>
          <w:rFonts w:ascii="Arial" w:hAnsi="Arial" w:cs="Arial"/>
          <w:b/>
          <w:bCs/>
          <w:sz w:val="22"/>
          <w:szCs w:val="22"/>
        </w:rPr>
        <w:t>180,858.31</w:t>
      </w:r>
      <w:r w:rsidR="00276F86">
        <w:rPr>
          <w:rFonts w:ascii="Arial" w:hAnsi="Arial" w:cs="Arial"/>
          <w:b/>
          <w:bCs/>
          <w:sz w:val="22"/>
          <w:szCs w:val="22"/>
        </w:rPr>
        <w:t>.</w:t>
      </w:r>
    </w:p>
    <w:p w:rsidR="00B3355B" w:rsidRDefault="00B3355B" w:rsidP="00B3355B">
      <w:pPr>
        <w:ind w:left="360"/>
        <w:rPr>
          <w:rFonts w:ascii="Arial" w:hAnsi="Arial" w:cs="Arial"/>
          <w:b/>
          <w:bCs/>
          <w:sz w:val="22"/>
          <w:szCs w:val="22"/>
        </w:rPr>
      </w:pPr>
    </w:p>
    <w:p w:rsidR="00B3355B" w:rsidRDefault="00B3355B" w:rsidP="00B3355B">
      <w:pPr>
        <w:ind w:left="360"/>
        <w:rPr>
          <w:rFonts w:ascii="Arial" w:hAnsi="Arial" w:cs="Arial"/>
          <w:bCs/>
          <w:sz w:val="22"/>
          <w:szCs w:val="22"/>
        </w:rPr>
      </w:pPr>
      <w:r>
        <w:rPr>
          <w:rFonts w:ascii="Arial" w:hAnsi="Arial" w:cs="Arial"/>
          <w:bCs/>
          <w:sz w:val="22"/>
          <w:szCs w:val="22"/>
        </w:rPr>
        <w:t xml:space="preserve">Our examination of total charges for </w:t>
      </w:r>
      <w:r w:rsidR="006C7FEC">
        <w:rPr>
          <w:rFonts w:ascii="Arial" w:hAnsi="Arial" w:cs="Arial"/>
          <w:bCs/>
          <w:sz w:val="22"/>
          <w:szCs w:val="22"/>
        </w:rPr>
        <w:t>r</w:t>
      </w:r>
      <w:r>
        <w:rPr>
          <w:rFonts w:ascii="Arial" w:hAnsi="Arial" w:cs="Arial"/>
          <w:bCs/>
          <w:sz w:val="22"/>
          <w:szCs w:val="22"/>
        </w:rPr>
        <w:t xml:space="preserve">epresentation, </w:t>
      </w:r>
      <w:r w:rsidR="006C7FEC">
        <w:rPr>
          <w:rFonts w:ascii="Arial" w:hAnsi="Arial" w:cs="Arial"/>
          <w:bCs/>
          <w:sz w:val="22"/>
          <w:szCs w:val="22"/>
        </w:rPr>
        <w:t>m</w:t>
      </w:r>
      <w:r>
        <w:rPr>
          <w:rFonts w:ascii="Arial" w:hAnsi="Arial" w:cs="Arial"/>
          <w:bCs/>
          <w:sz w:val="22"/>
          <w:szCs w:val="22"/>
        </w:rPr>
        <w:t xml:space="preserve">iscellaneous and </w:t>
      </w:r>
      <w:r w:rsidR="006C7FEC">
        <w:rPr>
          <w:rFonts w:ascii="Arial" w:hAnsi="Arial" w:cs="Arial"/>
          <w:bCs/>
          <w:sz w:val="22"/>
          <w:szCs w:val="22"/>
        </w:rPr>
        <w:t>c</w:t>
      </w:r>
      <w:r>
        <w:rPr>
          <w:rFonts w:ascii="Arial" w:hAnsi="Arial" w:cs="Arial"/>
          <w:bCs/>
          <w:sz w:val="22"/>
          <w:szCs w:val="22"/>
        </w:rPr>
        <w:t xml:space="preserve">onference </w:t>
      </w:r>
      <w:r w:rsidR="006C7FEC">
        <w:rPr>
          <w:rFonts w:ascii="Arial" w:hAnsi="Arial" w:cs="Arial"/>
          <w:bCs/>
          <w:sz w:val="22"/>
          <w:szCs w:val="22"/>
        </w:rPr>
        <w:t>e</w:t>
      </w:r>
      <w:r>
        <w:rPr>
          <w:rFonts w:ascii="Arial" w:hAnsi="Arial" w:cs="Arial"/>
          <w:bCs/>
          <w:sz w:val="22"/>
          <w:szCs w:val="22"/>
        </w:rPr>
        <w:t>xpen</w:t>
      </w:r>
      <w:r w:rsidR="006C7FEC">
        <w:rPr>
          <w:rFonts w:ascii="Arial" w:hAnsi="Arial" w:cs="Arial"/>
          <w:bCs/>
          <w:sz w:val="22"/>
          <w:szCs w:val="22"/>
        </w:rPr>
        <w:t>ses disclosed that a total of P</w:t>
      </w:r>
      <w:r>
        <w:rPr>
          <w:rFonts w:ascii="Arial" w:hAnsi="Arial" w:cs="Arial"/>
          <w:bCs/>
          <w:sz w:val="22"/>
          <w:szCs w:val="22"/>
        </w:rPr>
        <w:t xml:space="preserve">362,858.31 was disbursed for </w:t>
      </w:r>
      <w:r w:rsidR="006C7FEC">
        <w:rPr>
          <w:rFonts w:ascii="Arial" w:hAnsi="Arial" w:cs="Arial"/>
          <w:bCs/>
          <w:sz w:val="22"/>
          <w:szCs w:val="22"/>
        </w:rPr>
        <w:t xml:space="preserve">these </w:t>
      </w:r>
      <w:r>
        <w:rPr>
          <w:rFonts w:ascii="Arial" w:hAnsi="Arial" w:cs="Arial"/>
          <w:bCs/>
          <w:sz w:val="22"/>
          <w:szCs w:val="22"/>
        </w:rPr>
        <w:t>objects of expenditure.  On the other hand, we deduced that only a total of P 182,000.00 may be available to cover expenses of th</w:t>
      </w:r>
      <w:r w:rsidR="006C7FEC">
        <w:rPr>
          <w:rFonts w:ascii="Arial" w:hAnsi="Arial" w:cs="Arial"/>
          <w:bCs/>
          <w:sz w:val="22"/>
          <w:szCs w:val="22"/>
        </w:rPr>
        <w:t>is</w:t>
      </w:r>
      <w:r>
        <w:rPr>
          <w:rFonts w:ascii="Arial" w:hAnsi="Arial" w:cs="Arial"/>
          <w:bCs/>
          <w:sz w:val="22"/>
          <w:szCs w:val="22"/>
        </w:rPr>
        <w:t xml:space="preserve"> nature as could be gleaned from PADC’s Corporate Operating Budget (COB) for CY 2014 as approved by the Department of Budget and Management (DBM) and from the provisions of the 2014 General Appropriations Act (GAA). </w:t>
      </w:r>
      <w:r w:rsidR="006C7FEC">
        <w:rPr>
          <w:rFonts w:ascii="Arial" w:hAnsi="Arial" w:cs="Arial"/>
          <w:bCs/>
          <w:sz w:val="22"/>
          <w:szCs w:val="22"/>
        </w:rPr>
        <w:t xml:space="preserve"> </w:t>
      </w:r>
      <w:r>
        <w:rPr>
          <w:rFonts w:ascii="Arial" w:hAnsi="Arial" w:cs="Arial"/>
          <w:bCs/>
          <w:sz w:val="22"/>
          <w:szCs w:val="22"/>
        </w:rPr>
        <w:t>The details of our observations follow:</w:t>
      </w:r>
    </w:p>
    <w:p w:rsidR="00B3355B" w:rsidRDefault="00B3355B" w:rsidP="00B3355B">
      <w:pPr>
        <w:ind w:left="360"/>
        <w:rPr>
          <w:rFonts w:ascii="Arial" w:hAnsi="Arial" w:cs="Arial"/>
          <w:bCs/>
          <w:sz w:val="22"/>
          <w:szCs w:val="22"/>
        </w:rPr>
      </w:pPr>
    </w:p>
    <w:bookmarkStart w:id="1" w:name="_MON_1491889078"/>
    <w:bookmarkEnd w:id="1"/>
    <w:p w:rsidR="00B3355B" w:rsidRDefault="00683D30" w:rsidP="00B3355B">
      <w:pPr>
        <w:ind w:left="360"/>
        <w:rPr>
          <w:rFonts w:ascii="Arial" w:hAnsi="Arial" w:cs="Arial"/>
          <w:bCs/>
          <w:sz w:val="22"/>
          <w:szCs w:val="22"/>
        </w:rPr>
      </w:pPr>
      <w:r>
        <w:object w:dxaOrig="9695" w:dyaOrig="2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17pt" o:ole="">
            <v:imagedata r:id="rId8" o:title=""/>
          </v:shape>
          <o:OLEObject Type="Embed" ProgID="Excel.Sheet.12" ShapeID="_x0000_i1025" DrawAspect="Content" ObjectID="_1502631248" r:id="rId9"/>
        </w:object>
      </w:r>
    </w:p>
    <w:p w:rsidR="00B3355B" w:rsidRDefault="00B3355B" w:rsidP="006C7FEC">
      <w:pPr>
        <w:pStyle w:val="BlockText"/>
        <w:tabs>
          <w:tab w:val="clear" w:pos="7740"/>
        </w:tabs>
        <w:ind w:right="0" w:firstLine="0"/>
      </w:pPr>
      <w:r w:rsidRPr="00B3355B">
        <w:rPr>
          <w:color w:val="auto"/>
        </w:rPr>
        <w:t xml:space="preserve">We recommended that </w:t>
      </w:r>
      <w:r w:rsidR="006C7FEC">
        <w:rPr>
          <w:color w:val="auto"/>
        </w:rPr>
        <w:t>expenses be confined within the limits set by existing laws and regulations.</w:t>
      </w:r>
    </w:p>
    <w:p w:rsidR="00B3355B" w:rsidRDefault="00B3355B" w:rsidP="006C7FEC">
      <w:pPr>
        <w:pStyle w:val="BlockText"/>
        <w:tabs>
          <w:tab w:val="clear" w:pos="7740"/>
        </w:tabs>
        <w:ind w:right="0" w:firstLine="0"/>
      </w:pPr>
    </w:p>
    <w:p w:rsidR="000177FB" w:rsidRDefault="00B3355B" w:rsidP="00276F86">
      <w:pPr>
        <w:ind w:left="360"/>
        <w:rPr>
          <w:rFonts w:ascii="Arial" w:hAnsi="Arial" w:cs="Arial"/>
          <w:bCs/>
          <w:sz w:val="22"/>
          <w:szCs w:val="22"/>
        </w:rPr>
      </w:pPr>
      <w:r>
        <w:rPr>
          <w:rFonts w:ascii="Arial" w:hAnsi="Arial" w:cs="Arial"/>
          <w:bCs/>
          <w:sz w:val="22"/>
          <w:szCs w:val="22"/>
        </w:rPr>
        <w:t xml:space="preserve">Management </w:t>
      </w:r>
      <w:r w:rsidR="006C7FEC">
        <w:rPr>
          <w:rFonts w:ascii="Arial" w:hAnsi="Arial" w:cs="Arial"/>
          <w:bCs/>
          <w:sz w:val="22"/>
          <w:szCs w:val="22"/>
        </w:rPr>
        <w:t xml:space="preserve">replied </w:t>
      </w:r>
      <w:r>
        <w:rPr>
          <w:rFonts w:ascii="Arial" w:hAnsi="Arial" w:cs="Arial"/>
          <w:bCs/>
          <w:sz w:val="22"/>
          <w:szCs w:val="22"/>
        </w:rPr>
        <w:t xml:space="preserve">that the </w:t>
      </w:r>
      <w:r w:rsidR="006C7FEC">
        <w:rPr>
          <w:rFonts w:ascii="Arial" w:hAnsi="Arial" w:cs="Arial"/>
          <w:bCs/>
          <w:sz w:val="22"/>
          <w:szCs w:val="22"/>
        </w:rPr>
        <w:t xml:space="preserve">audit team </w:t>
      </w:r>
      <w:r>
        <w:rPr>
          <w:rFonts w:ascii="Arial" w:hAnsi="Arial" w:cs="Arial"/>
          <w:bCs/>
          <w:sz w:val="22"/>
          <w:szCs w:val="22"/>
        </w:rPr>
        <w:t xml:space="preserve">did not take into consideration the additional     allowance on EME allowed to the six directors and </w:t>
      </w:r>
      <w:r w:rsidR="00ED172A">
        <w:rPr>
          <w:rFonts w:ascii="Arial" w:hAnsi="Arial" w:cs="Arial"/>
          <w:bCs/>
          <w:sz w:val="22"/>
          <w:szCs w:val="22"/>
        </w:rPr>
        <w:t>three</w:t>
      </w:r>
      <w:r>
        <w:rPr>
          <w:rFonts w:ascii="Arial" w:hAnsi="Arial" w:cs="Arial"/>
          <w:bCs/>
          <w:sz w:val="22"/>
          <w:szCs w:val="22"/>
        </w:rPr>
        <w:t xml:space="preserve"> division managers of PADC as provided also in Sec. 41 of the 2014 GAA amounting to an aggregate of P352,800   which when added to the EME allowance for the PADC President of P</w:t>
      </w:r>
      <w:r w:rsidR="00CD1EF7">
        <w:rPr>
          <w:rFonts w:ascii="Arial" w:hAnsi="Arial" w:cs="Arial"/>
          <w:bCs/>
          <w:sz w:val="22"/>
          <w:szCs w:val="22"/>
        </w:rPr>
        <w:t>182,000</w:t>
      </w:r>
      <w:r>
        <w:rPr>
          <w:rFonts w:ascii="Arial" w:hAnsi="Arial" w:cs="Arial"/>
          <w:bCs/>
          <w:sz w:val="22"/>
          <w:szCs w:val="22"/>
        </w:rPr>
        <w:t xml:space="preserve"> per COB and GAA would amou</w:t>
      </w:r>
      <w:r w:rsidR="00CD1EF7">
        <w:rPr>
          <w:rFonts w:ascii="Arial" w:hAnsi="Arial" w:cs="Arial"/>
          <w:bCs/>
          <w:sz w:val="22"/>
          <w:szCs w:val="22"/>
        </w:rPr>
        <w:t>nt to an aggregate of</w:t>
      </w:r>
      <w:r w:rsidR="000177FB">
        <w:rPr>
          <w:rFonts w:ascii="Arial" w:hAnsi="Arial" w:cs="Arial"/>
          <w:bCs/>
          <w:sz w:val="22"/>
          <w:szCs w:val="22"/>
        </w:rPr>
        <w:t xml:space="preserve"> P</w:t>
      </w:r>
      <w:r w:rsidR="00CD1EF7">
        <w:rPr>
          <w:rFonts w:ascii="Arial" w:hAnsi="Arial" w:cs="Arial"/>
          <w:bCs/>
          <w:sz w:val="22"/>
          <w:szCs w:val="22"/>
        </w:rPr>
        <w:t>534,800</w:t>
      </w:r>
      <w:r w:rsidR="006C7FEC">
        <w:rPr>
          <w:rFonts w:ascii="Arial" w:hAnsi="Arial" w:cs="Arial"/>
          <w:bCs/>
          <w:sz w:val="22"/>
          <w:szCs w:val="22"/>
        </w:rPr>
        <w:t>.</w:t>
      </w:r>
      <w:r w:rsidR="000177FB">
        <w:rPr>
          <w:rFonts w:ascii="Arial" w:hAnsi="Arial" w:cs="Arial"/>
          <w:bCs/>
          <w:sz w:val="22"/>
          <w:szCs w:val="22"/>
        </w:rPr>
        <w:t xml:space="preserve"> This amount would be more than enough to cover the total expenses incurred for 2014 and would still leave P171,941.69 in excess funds.</w:t>
      </w:r>
    </w:p>
    <w:p w:rsidR="00774901" w:rsidRDefault="00774901" w:rsidP="00276F86">
      <w:pPr>
        <w:ind w:left="360"/>
        <w:rPr>
          <w:rFonts w:ascii="Arial" w:hAnsi="Arial" w:cs="Arial"/>
          <w:bCs/>
          <w:sz w:val="22"/>
          <w:szCs w:val="22"/>
        </w:rPr>
      </w:pPr>
    </w:p>
    <w:p w:rsidR="00276F86" w:rsidRDefault="00276F86" w:rsidP="00774901">
      <w:pPr>
        <w:ind w:left="360"/>
        <w:rPr>
          <w:rFonts w:ascii="Arial" w:hAnsi="Arial" w:cs="Arial"/>
          <w:bCs/>
          <w:sz w:val="22"/>
          <w:szCs w:val="22"/>
        </w:rPr>
      </w:pPr>
    </w:p>
    <w:p w:rsidR="00CD1EF7" w:rsidRPr="00CD1EF7" w:rsidRDefault="00CD1EF7" w:rsidP="00CD1EF7">
      <w:pPr>
        <w:pStyle w:val="BlockText"/>
        <w:numPr>
          <w:ilvl w:val="0"/>
          <w:numId w:val="10"/>
        </w:numPr>
        <w:tabs>
          <w:tab w:val="clear" w:pos="7740"/>
          <w:tab w:val="left" w:pos="360"/>
        </w:tabs>
        <w:ind w:right="0"/>
        <w:rPr>
          <w:b/>
          <w:color w:val="auto"/>
        </w:rPr>
      </w:pPr>
      <w:r w:rsidRPr="00CD1EF7">
        <w:rPr>
          <w:b/>
          <w:bCs/>
          <w:color w:val="auto"/>
        </w:rPr>
        <w:t xml:space="preserve">Deficiencies in the compliance to </w:t>
      </w:r>
      <w:r w:rsidRPr="00CD1EF7">
        <w:rPr>
          <w:b/>
          <w:color w:val="auto"/>
        </w:rPr>
        <w:t xml:space="preserve">Gender and Development (GAD) requirements as </w:t>
      </w:r>
    </w:p>
    <w:p w:rsidR="00CD1EF7" w:rsidRPr="00CD1EF7" w:rsidRDefault="00CD1EF7" w:rsidP="00CD1EF7">
      <w:pPr>
        <w:pStyle w:val="BlockText"/>
        <w:tabs>
          <w:tab w:val="left" w:pos="2660"/>
        </w:tabs>
        <w:ind w:left="0" w:right="0" w:firstLine="0"/>
        <w:rPr>
          <w:b/>
          <w:color w:val="auto"/>
        </w:rPr>
      </w:pPr>
      <w:r w:rsidRPr="00CD1EF7">
        <w:rPr>
          <w:b/>
          <w:color w:val="auto"/>
        </w:rPr>
        <w:t xml:space="preserve">      called for by the Joint PCW-NEDA-DBM Circular No. 2012-01.</w:t>
      </w:r>
    </w:p>
    <w:p w:rsidR="00CD1EF7" w:rsidRDefault="00CD1EF7" w:rsidP="00CD1EF7">
      <w:pPr>
        <w:pStyle w:val="BlockText"/>
        <w:tabs>
          <w:tab w:val="left" w:pos="2660"/>
        </w:tabs>
        <w:ind w:left="0" w:right="0" w:firstLine="0"/>
        <w:rPr>
          <w:b/>
        </w:rPr>
      </w:pPr>
      <w:r>
        <w:rPr>
          <w:b/>
        </w:rPr>
        <w:t xml:space="preserve">      </w:t>
      </w:r>
    </w:p>
    <w:p w:rsidR="00CD1EF7" w:rsidRDefault="00CD1EF7" w:rsidP="00CD1EF7">
      <w:pPr>
        <w:ind w:left="360"/>
        <w:rPr>
          <w:rFonts w:ascii="Arial" w:hAnsi="Arial" w:cs="Arial"/>
          <w:sz w:val="22"/>
          <w:szCs w:val="22"/>
        </w:rPr>
      </w:pPr>
      <w:r w:rsidRPr="00CD1EF7">
        <w:rPr>
          <w:rFonts w:ascii="Arial" w:hAnsi="Arial" w:cs="Arial"/>
          <w:sz w:val="22"/>
          <w:szCs w:val="22"/>
        </w:rPr>
        <w:t xml:space="preserve">Joint </w:t>
      </w:r>
      <w:r w:rsidR="00ED172A" w:rsidRPr="00ED172A">
        <w:rPr>
          <w:rFonts w:ascii="Arial" w:hAnsi="Arial" w:cs="Arial"/>
          <w:sz w:val="22"/>
          <w:szCs w:val="22"/>
        </w:rPr>
        <w:t>PCW-NEDA-DBM Circular No. 2012-01</w:t>
      </w:r>
      <w:r w:rsidR="00ED172A">
        <w:rPr>
          <w:rFonts w:ascii="Arial" w:hAnsi="Arial" w:cs="Arial"/>
          <w:sz w:val="22"/>
          <w:szCs w:val="22"/>
        </w:rPr>
        <w:t xml:space="preserve"> </w:t>
      </w:r>
      <w:r>
        <w:rPr>
          <w:rFonts w:ascii="Arial" w:hAnsi="Arial" w:cs="Arial"/>
          <w:sz w:val="22"/>
          <w:szCs w:val="22"/>
        </w:rPr>
        <w:t>requires agencies like PADC to submit their annual GAD Plan and Budget to t</w:t>
      </w:r>
      <w:r w:rsidR="00774901">
        <w:rPr>
          <w:rFonts w:ascii="Arial" w:hAnsi="Arial" w:cs="Arial"/>
          <w:sz w:val="22"/>
          <w:szCs w:val="22"/>
        </w:rPr>
        <w:t>heir respective mother agencies</w:t>
      </w:r>
      <w:r>
        <w:rPr>
          <w:rFonts w:ascii="Arial" w:hAnsi="Arial" w:cs="Arial"/>
          <w:sz w:val="22"/>
          <w:szCs w:val="22"/>
        </w:rPr>
        <w:t>, this is the DOTC in the case of PADC, for review and subsequent endorsement to the PCW for approval and endorsement to DBM. This procedure was not complied with by PADC in the formulation of its GAD Program for 2014.</w:t>
      </w:r>
    </w:p>
    <w:p w:rsidR="00CD1EF7" w:rsidRDefault="00CD1EF7" w:rsidP="00CD1EF7">
      <w:pPr>
        <w:ind w:left="360"/>
        <w:rPr>
          <w:rFonts w:ascii="Arial" w:hAnsi="Arial" w:cs="Arial"/>
          <w:sz w:val="22"/>
          <w:szCs w:val="22"/>
        </w:rPr>
      </w:pPr>
    </w:p>
    <w:p w:rsidR="00CD1EF7" w:rsidRDefault="00CD1EF7" w:rsidP="00CD1EF7">
      <w:pPr>
        <w:ind w:left="360"/>
        <w:rPr>
          <w:rFonts w:ascii="Arial" w:hAnsi="Arial" w:cs="Arial"/>
          <w:sz w:val="22"/>
          <w:szCs w:val="22"/>
        </w:rPr>
      </w:pPr>
      <w:r>
        <w:rPr>
          <w:rFonts w:ascii="Arial" w:hAnsi="Arial" w:cs="Arial"/>
          <w:sz w:val="22"/>
          <w:szCs w:val="22"/>
        </w:rPr>
        <w:t xml:space="preserve">Likewise, the amount of P100,000 which PADC has allotted for CY 2014 for its GAD      program falls short of the at least </w:t>
      </w:r>
      <w:r w:rsidR="00ED172A">
        <w:rPr>
          <w:rFonts w:ascii="Arial" w:hAnsi="Arial" w:cs="Arial"/>
          <w:sz w:val="22"/>
          <w:szCs w:val="22"/>
        </w:rPr>
        <w:t>five per cent</w:t>
      </w:r>
      <w:r>
        <w:rPr>
          <w:rFonts w:ascii="Arial" w:hAnsi="Arial" w:cs="Arial"/>
          <w:sz w:val="22"/>
          <w:szCs w:val="22"/>
        </w:rPr>
        <w:t xml:space="preserve"> of the total amount of the approved annual Corporate Operating Budget (COB)  as required also in the joint circular. </w:t>
      </w:r>
    </w:p>
    <w:p w:rsidR="00CD1EF7" w:rsidRDefault="00CD1EF7" w:rsidP="00CD1EF7">
      <w:pPr>
        <w:rPr>
          <w:rFonts w:ascii="Arial" w:hAnsi="Arial" w:cs="Arial"/>
          <w:sz w:val="22"/>
          <w:szCs w:val="22"/>
        </w:rPr>
      </w:pPr>
    </w:p>
    <w:p w:rsidR="00CD1EF7" w:rsidRDefault="00CD1EF7" w:rsidP="00CD1EF7">
      <w:pPr>
        <w:ind w:left="360"/>
        <w:rPr>
          <w:rFonts w:ascii="Arial" w:hAnsi="Arial" w:cs="Arial"/>
          <w:sz w:val="22"/>
          <w:szCs w:val="22"/>
        </w:rPr>
      </w:pPr>
      <w:r>
        <w:rPr>
          <w:rFonts w:ascii="Arial" w:hAnsi="Arial" w:cs="Arial"/>
          <w:sz w:val="22"/>
          <w:szCs w:val="22"/>
        </w:rPr>
        <w:t xml:space="preserve">Further, there was no indication that the Harmonized Gender and Development Guidelines (HGDG) in the joint circular was utilized by PADC in the mainstreaming of </w:t>
      </w:r>
      <w:r w:rsidR="00774901">
        <w:rPr>
          <w:rFonts w:ascii="Arial" w:hAnsi="Arial" w:cs="Arial"/>
          <w:sz w:val="22"/>
          <w:szCs w:val="22"/>
        </w:rPr>
        <w:t>g</w:t>
      </w:r>
      <w:r>
        <w:rPr>
          <w:rFonts w:ascii="Arial" w:hAnsi="Arial" w:cs="Arial"/>
          <w:sz w:val="22"/>
          <w:szCs w:val="22"/>
        </w:rPr>
        <w:t>ender perspectives.</w:t>
      </w:r>
    </w:p>
    <w:p w:rsidR="00CD1EF7" w:rsidRPr="00EC486D" w:rsidRDefault="00CD1EF7" w:rsidP="00CD1EF7">
      <w:pPr>
        <w:ind w:left="360"/>
        <w:rPr>
          <w:rFonts w:ascii="Arial" w:hAnsi="Arial" w:cs="Arial"/>
          <w:sz w:val="22"/>
          <w:szCs w:val="22"/>
        </w:rPr>
      </w:pPr>
      <w:r w:rsidRPr="00EC486D">
        <w:rPr>
          <w:rFonts w:ascii="Arial" w:hAnsi="Arial" w:cs="Arial"/>
          <w:b/>
          <w:sz w:val="22"/>
          <w:szCs w:val="22"/>
        </w:rPr>
        <w:t xml:space="preserve"> </w:t>
      </w:r>
    </w:p>
    <w:p w:rsidR="00CD1EF7" w:rsidRDefault="00CD1EF7" w:rsidP="00CD1EF7">
      <w:pPr>
        <w:ind w:left="360"/>
        <w:rPr>
          <w:rFonts w:ascii="Arial" w:hAnsi="Arial" w:cs="Arial"/>
          <w:sz w:val="22"/>
          <w:szCs w:val="22"/>
        </w:rPr>
      </w:pPr>
      <w:r w:rsidRPr="00037771">
        <w:rPr>
          <w:rFonts w:ascii="Arial" w:hAnsi="Arial" w:cs="Arial"/>
          <w:sz w:val="22"/>
          <w:szCs w:val="22"/>
        </w:rPr>
        <w:t xml:space="preserve">We </w:t>
      </w:r>
      <w:r>
        <w:rPr>
          <w:rFonts w:ascii="Arial" w:hAnsi="Arial" w:cs="Arial"/>
          <w:sz w:val="22"/>
          <w:szCs w:val="22"/>
        </w:rPr>
        <w:t xml:space="preserve">recommended that PADC comply </w:t>
      </w:r>
      <w:r w:rsidR="00ED172A">
        <w:rPr>
          <w:rFonts w:ascii="Arial" w:hAnsi="Arial" w:cs="Arial"/>
          <w:sz w:val="22"/>
          <w:szCs w:val="22"/>
        </w:rPr>
        <w:t>strictly</w:t>
      </w:r>
      <w:r w:rsidR="00444781">
        <w:rPr>
          <w:rFonts w:ascii="Arial" w:hAnsi="Arial" w:cs="Arial"/>
          <w:sz w:val="22"/>
          <w:szCs w:val="22"/>
        </w:rPr>
        <w:t xml:space="preserve"> with the formulation, monitoring and reportorial requirements in Joint PCW-NEDA-DBM Circular No. 2012-01 on GAD.</w:t>
      </w:r>
      <w:r>
        <w:rPr>
          <w:rFonts w:ascii="Arial" w:hAnsi="Arial" w:cs="Arial"/>
          <w:sz w:val="22"/>
          <w:szCs w:val="22"/>
        </w:rPr>
        <w:t xml:space="preserve"> </w:t>
      </w:r>
    </w:p>
    <w:p w:rsidR="00A45F91" w:rsidRDefault="00A45F91" w:rsidP="00CD1EF7">
      <w:pPr>
        <w:ind w:left="360"/>
        <w:rPr>
          <w:rFonts w:ascii="Arial" w:hAnsi="Arial" w:cs="Arial"/>
          <w:sz w:val="22"/>
          <w:szCs w:val="22"/>
        </w:rPr>
      </w:pPr>
    </w:p>
    <w:p w:rsidR="007A3471" w:rsidRDefault="007A3471" w:rsidP="00CD1EF7">
      <w:pPr>
        <w:ind w:left="360"/>
        <w:rPr>
          <w:rFonts w:ascii="Arial" w:hAnsi="Arial" w:cs="Arial"/>
          <w:sz w:val="22"/>
          <w:szCs w:val="22"/>
        </w:rPr>
      </w:pPr>
    </w:p>
    <w:p w:rsidR="007A3471" w:rsidRPr="007A3471" w:rsidRDefault="007A3471" w:rsidP="007A3471">
      <w:pPr>
        <w:pStyle w:val="BlockText"/>
        <w:numPr>
          <w:ilvl w:val="0"/>
          <w:numId w:val="10"/>
        </w:numPr>
        <w:tabs>
          <w:tab w:val="clear" w:pos="7740"/>
        </w:tabs>
        <w:ind w:right="0"/>
        <w:rPr>
          <w:b/>
          <w:color w:val="auto"/>
        </w:rPr>
      </w:pPr>
      <w:r>
        <w:rPr>
          <w:b/>
          <w:bCs/>
          <w:color w:val="auto"/>
        </w:rPr>
        <w:t>Summary of Total Suspensions, Disallowances and Charges</w:t>
      </w:r>
    </w:p>
    <w:p w:rsidR="007A3471" w:rsidRDefault="007A3471" w:rsidP="007A3471">
      <w:pPr>
        <w:ind w:left="360" w:hanging="360"/>
        <w:rPr>
          <w:rFonts w:ascii="Arial" w:hAnsi="Arial" w:cs="Arial"/>
          <w:b/>
          <w:sz w:val="22"/>
          <w:szCs w:val="22"/>
        </w:rPr>
      </w:pPr>
    </w:p>
    <w:p w:rsidR="007A3471" w:rsidRDefault="007A3471" w:rsidP="007A3471">
      <w:pPr>
        <w:ind w:left="360"/>
        <w:rPr>
          <w:rFonts w:ascii="Arial" w:hAnsi="Arial" w:cs="Arial"/>
          <w:sz w:val="22"/>
          <w:szCs w:val="22"/>
        </w:rPr>
      </w:pPr>
      <w:r w:rsidRPr="006419EE">
        <w:rPr>
          <w:rFonts w:ascii="Arial" w:hAnsi="Arial" w:cs="Arial"/>
          <w:sz w:val="22"/>
          <w:szCs w:val="22"/>
        </w:rPr>
        <w:t>For CY 201</w:t>
      </w:r>
      <w:r>
        <w:rPr>
          <w:rFonts w:ascii="Arial" w:hAnsi="Arial" w:cs="Arial"/>
          <w:sz w:val="22"/>
          <w:szCs w:val="22"/>
        </w:rPr>
        <w:t>4</w:t>
      </w:r>
      <w:r w:rsidRPr="006419EE">
        <w:rPr>
          <w:rFonts w:ascii="Arial" w:hAnsi="Arial" w:cs="Arial"/>
          <w:sz w:val="22"/>
          <w:szCs w:val="22"/>
        </w:rPr>
        <w:t>, the unsettled Suspension, Disallowances and Charges are as follows:</w:t>
      </w:r>
    </w:p>
    <w:p w:rsidR="007A3471" w:rsidRDefault="007A3471" w:rsidP="007A3471">
      <w:pPr>
        <w:jc w:val="right"/>
        <w:rPr>
          <w:rFonts w:ascii="Arial" w:hAnsi="Arial" w:cs="Arial"/>
          <w:sz w:val="22"/>
          <w:szCs w:val="22"/>
        </w:rPr>
      </w:pPr>
    </w:p>
    <w:tbl>
      <w:tblPr>
        <w:tblW w:w="0" w:type="auto"/>
        <w:tblInd w:w="577" w:type="dxa"/>
        <w:tblLook w:val="04A0" w:firstRow="1" w:lastRow="0" w:firstColumn="1" w:lastColumn="0" w:noHBand="0" w:noVBand="1"/>
      </w:tblPr>
      <w:tblGrid>
        <w:gridCol w:w="3690"/>
        <w:gridCol w:w="363"/>
        <w:gridCol w:w="1623"/>
      </w:tblGrid>
      <w:tr w:rsidR="007A3471" w:rsidRPr="00D03D11" w:rsidTr="007A3471">
        <w:tc>
          <w:tcPr>
            <w:tcW w:w="3690" w:type="dxa"/>
          </w:tcPr>
          <w:p w:rsidR="007A3471" w:rsidRPr="00D03D11" w:rsidRDefault="007A3471" w:rsidP="008E64A8">
            <w:pPr>
              <w:rPr>
                <w:rFonts w:ascii="Arial" w:hAnsi="Arial" w:cs="Arial"/>
                <w:sz w:val="22"/>
                <w:szCs w:val="22"/>
              </w:rPr>
            </w:pPr>
            <w:r w:rsidRPr="00D03D11">
              <w:rPr>
                <w:rFonts w:ascii="Arial" w:hAnsi="Arial" w:cs="Arial"/>
                <w:sz w:val="22"/>
                <w:szCs w:val="22"/>
              </w:rPr>
              <w:t xml:space="preserve">           Suspension</w:t>
            </w:r>
          </w:p>
        </w:tc>
        <w:tc>
          <w:tcPr>
            <w:tcW w:w="363" w:type="dxa"/>
          </w:tcPr>
          <w:p w:rsidR="007A3471" w:rsidRPr="00D03D11" w:rsidRDefault="007A3471" w:rsidP="008E64A8">
            <w:pPr>
              <w:rPr>
                <w:rFonts w:ascii="Arial" w:hAnsi="Arial" w:cs="Arial"/>
                <w:sz w:val="22"/>
                <w:szCs w:val="22"/>
              </w:rPr>
            </w:pPr>
            <w:r w:rsidRPr="00D03D11">
              <w:rPr>
                <w:rFonts w:ascii="Arial" w:hAnsi="Arial" w:cs="Arial"/>
                <w:sz w:val="22"/>
                <w:szCs w:val="22"/>
              </w:rPr>
              <w:t>P</w:t>
            </w:r>
          </w:p>
        </w:tc>
        <w:tc>
          <w:tcPr>
            <w:tcW w:w="1623" w:type="dxa"/>
          </w:tcPr>
          <w:p w:rsidR="007A3471" w:rsidRPr="00D03D11" w:rsidRDefault="007A3471" w:rsidP="008E64A8">
            <w:pPr>
              <w:jc w:val="right"/>
              <w:rPr>
                <w:rFonts w:ascii="Arial" w:hAnsi="Arial" w:cs="Arial"/>
                <w:sz w:val="22"/>
                <w:szCs w:val="22"/>
              </w:rPr>
            </w:pPr>
            <w:r>
              <w:rPr>
                <w:rFonts w:ascii="Arial" w:hAnsi="Arial" w:cs="Arial"/>
                <w:sz w:val="22"/>
                <w:szCs w:val="22"/>
              </w:rPr>
              <w:t>0</w:t>
            </w:r>
          </w:p>
        </w:tc>
      </w:tr>
      <w:tr w:rsidR="007A3471" w:rsidRPr="00D03D11" w:rsidTr="007A3471">
        <w:tc>
          <w:tcPr>
            <w:tcW w:w="3690" w:type="dxa"/>
          </w:tcPr>
          <w:p w:rsidR="007A3471" w:rsidRPr="00D03D11" w:rsidRDefault="007A3471" w:rsidP="008E64A8">
            <w:pPr>
              <w:rPr>
                <w:rFonts w:ascii="Arial" w:hAnsi="Arial" w:cs="Arial"/>
                <w:sz w:val="22"/>
                <w:szCs w:val="22"/>
              </w:rPr>
            </w:pPr>
            <w:r w:rsidRPr="00D03D11">
              <w:rPr>
                <w:rFonts w:ascii="Arial" w:hAnsi="Arial" w:cs="Arial"/>
                <w:sz w:val="22"/>
                <w:szCs w:val="22"/>
              </w:rPr>
              <w:t xml:space="preserve">           Disallowances</w:t>
            </w:r>
          </w:p>
        </w:tc>
        <w:tc>
          <w:tcPr>
            <w:tcW w:w="363" w:type="dxa"/>
          </w:tcPr>
          <w:p w:rsidR="007A3471" w:rsidRPr="00D03D11" w:rsidRDefault="007A3471" w:rsidP="008E64A8">
            <w:pPr>
              <w:rPr>
                <w:rFonts w:ascii="Arial" w:hAnsi="Arial" w:cs="Arial"/>
                <w:sz w:val="22"/>
                <w:szCs w:val="22"/>
              </w:rPr>
            </w:pPr>
          </w:p>
        </w:tc>
        <w:tc>
          <w:tcPr>
            <w:tcW w:w="1623" w:type="dxa"/>
          </w:tcPr>
          <w:p w:rsidR="007A3471" w:rsidRPr="00D03D11" w:rsidRDefault="007A3471" w:rsidP="008E64A8">
            <w:pPr>
              <w:jc w:val="right"/>
              <w:rPr>
                <w:rFonts w:ascii="Arial" w:hAnsi="Arial" w:cs="Arial"/>
                <w:sz w:val="22"/>
                <w:szCs w:val="22"/>
              </w:rPr>
            </w:pPr>
            <w:r>
              <w:rPr>
                <w:rFonts w:ascii="Arial" w:hAnsi="Arial" w:cs="Arial"/>
                <w:sz w:val="22"/>
                <w:szCs w:val="22"/>
              </w:rPr>
              <w:t>7,520</w:t>
            </w:r>
            <w:r w:rsidRPr="00D03D11">
              <w:rPr>
                <w:rFonts w:ascii="Arial" w:hAnsi="Arial" w:cs="Arial"/>
                <w:sz w:val="22"/>
                <w:szCs w:val="22"/>
              </w:rPr>
              <w:t>,</w:t>
            </w:r>
            <w:r>
              <w:rPr>
                <w:rFonts w:ascii="Arial" w:hAnsi="Arial" w:cs="Arial"/>
                <w:sz w:val="22"/>
                <w:szCs w:val="22"/>
              </w:rPr>
              <w:t>137</w:t>
            </w:r>
            <w:r w:rsidRPr="00D03D11">
              <w:rPr>
                <w:rFonts w:ascii="Arial" w:hAnsi="Arial" w:cs="Arial"/>
                <w:sz w:val="22"/>
                <w:szCs w:val="22"/>
              </w:rPr>
              <w:t>.</w:t>
            </w:r>
            <w:r>
              <w:rPr>
                <w:rFonts w:ascii="Arial" w:hAnsi="Arial" w:cs="Arial"/>
                <w:sz w:val="22"/>
                <w:szCs w:val="22"/>
              </w:rPr>
              <w:t>6</w:t>
            </w:r>
            <w:r w:rsidRPr="00D03D11">
              <w:rPr>
                <w:rFonts w:ascii="Arial" w:hAnsi="Arial" w:cs="Arial"/>
                <w:sz w:val="22"/>
                <w:szCs w:val="22"/>
              </w:rPr>
              <w:t>8</w:t>
            </w:r>
          </w:p>
        </w:tc>
      </w:tr>
      <w:tr w:rsidR="007A3471" w:rsidRPr="00D03D11" w:rsidTr="007A3471">
        <w:tc>
          <w:tcPr>
            <w:tcW w:w="3690" w:type="dxa"/>
          </w:tcPr>
          <w:p w:rsidR="007A3471" w:rsidRPr="00D03D11" w:rsidRDefault="007A3471" w:rsidP="008E64A8">
            <w:pPr>
              <w:rPr>
                <w:rFonts w:ascii="Arial" w:hAnsi="Arial" w:cs="Arial"/>
                <w:sz w:val="22"/>
                <w:szCs w:val="22"/>
              </w:rPr>
            </w:pPr>
            <w:r w:rsidRPr="00D03D11">
              <w:rPr>
                <w:rFonts w:ascii="Arial" w:hAnsi="Arial" w:cs="Arial"/>
                <w:sz w:val="22"/>
                <w:szCs w:val="22"/>
              </w:rPr>
              <w:t xml:space="preserve">           Charges</w:t>
            </w:r>
          </w:p>
        </w:tc>
        <w:tc>
          <w:tcPr>
            <w:tcW w:w="363" w:type="dxa"/>
            <w:tcBorders>
              <w:bottom w:val="single" w:sz="4" w:space="0" w:color="auto"/>
            </w:tcBorders>
          </w:tcPr>
          <w:p w:rsidR="007A3471" w:rsidRPr="00D03D11" w:rsidRDefault="007A3471" w:rsidP="008E64A8">
            <w:pPr>
              <w:rPr>
                <w:rFonts w:ascii="Arial" w:hAnsi="Arial" w:cs="Arial"/>
                <w:sz w:val="22"/>
                <w:szCs w:val="22"/>
              </w:rPr>
            </w:pPr>
          </w:p>
        </w:tc>
        <w:tc>
          <w:tcPr>
            <w:tcW w:w="1623" w:type="dxa"/>
            <w:tcBorders>
              <w:bottom w:val="single" w:sz="4" w:space="0" w:color="auto"/>
            </w:tcBorders>
          </w:tcPr>
          <w:p w:rsidR="007A3471" w:rsidRPr="00D03D11" w:rsidRDefault="007A3471" w:rsidP="008E64A8">
            <w:pPr>
              <w:jc w:val="right"/>
              <w:rPr>
                <w:rFonts w:ascii="Arial" w:hAnsi="Arial" w:cs="Arial"/>
                <w:sz w:val="22"/>
                <w:szCs w:val="22"/>
              </w:rPr>
            </w:pPr>
            <w:r w:rsidRPr="00D03D11">
              <w:rPr>
                <w:rFonts w:ascii="Arial" w:hAnsi="Arial" w:cs="Arial"/>
                <w:sz w:val="22"/>
                <w:szCs w:val="22"/>
              </w:rPr>
              <w:t>9,259,741.45</w:t>
            </w:r>
          </w:p>
        </w:tc>
      </w:tr>
      <w:tr w:rsidR="007A3471" w:rsidRPr="00D03D11" w:rsidTr="007A3471">
        <w:tc>
          <w:tcPr>
            <w:tcW w:w="3690" w:type="dxa"/>
          </w:tcPr>
          <w:p w:rsidR="007A3471" w:rsidRPr="00D03D11" w:rsidRDefault="007A3471" w:rsidP="008E64A8">
            <w:pPr>
              <w:rPr>
                <w:rFonts w:ascii="Arial" w:hAnsi="Arial" w:cs="Arial"/>
                <w:sz w:val="22"/>
                <w:szCs w:val="22"/>
              </w:rPr>
            </w:pPr>
          </w:p>
        </w:tc>
        <w:tc>
          <w:tcPr>
            <w:tcW w:w="363" w:type="dxa"/>
            <w:tcBorders>
              <w:top w:val="single" w:sz="4" w:space="0" w:color="auto"/>
              <w:bottom w:val="double" w:sz="4" w:space="0" w:color="auto"/>
            </w:tcBorders>
          </w:tcPr>
          <w:p w:rsidR="007A3471" w:rsidRPr="00D03D11" w:rsidRDefault="007A3471" w:rsidP="008E64A8">
            <w:pPr>
              <w:rPr>
                <w:rFonts w:ascii="Arial" w:hAnsi="Arial" w:cs="Arial"/>
                <w:sz w:val="22"/>
                <w:szCs w:val="22"/>
              </w:rPr>
            </w:pPr>
          </w:p>
          <w:p w:rsidR="007A3471" w:rsidRPr="00D03D11" w:rsidRDefault="007A3471" w:rsidP="008E64A8">
            <w:pPr>
              <w:rPr>
                <w:rFonts w:ascii="Arial" w:hAnsi="Arial" w:cs="Arial"/>
                <w:sz w:val="22"/>
                <w:szCs w:val="22"/>
              </w:rPr>
            </w:pPr>
            <w:r w:rsidRPr="00D03D11">
              <w:rPr>
                <w:rFonts w:ascii="Arial" w:hAnsi="Arial" w:cs="Arial"/>
                <w:sz w:val="22"/>
                <w:szCs w:val="22"/>
              </w:rPr>
              <w:t>P</w:t>
            </w:r>
          </w:p>
        </w:tc>
        <w:tc>
          <w:tcPr>
            <w:tcW w:w="1623" w:type="dxa"/>
            <w:tcBorders>
              <w:top w:val="single" w:sz="4" w:space="0" w:color="auto"/>
              <w:bottom w:val="double" w:sz="4" w:space="0" w:color="auto"/>
            </w:tcBorders>
          </w:tcPr>
          <w:p w:rsidR="007A3471" w:rsidRPr="00D03D11" w:rsidRDefault="007A3471" w:rsidP="008E64A8">
            <w:pPr>
              <w:jc w:val="right"/>
              <w:rPr>
                <w:rFonts w:ascii="Arial" w:hAnsi="Arial" w:cs="Arial"/>
                <w:sz w:val="22"/>
                <w:szCs w:val="22"/>
              </w:rPr>
            </w:pPr>
          </w:p>
          <w:p w:rsidR="007A3471" w:rsidRPr="00D03D11" w:rsidRDefault="007A3471" w:rsidP="008E64A8">
            <w:pPr>
              <w:jc w:val="right"/>
              <w:rPr>
                <w:rFonts w:ascii="Arial" w:hAnsi="Arial" w:cs="Arial"/>
                <w:sz w:val="22"/>
                <w:szCs w:val="22"/>
              </w:rPr>
            </w:pPr>
            <w:r w:rsidRPr="00D03D11">
              <w:rPr>
                <w:rFonts w:ascii="Arial" w:hAnsi="Arial" w:cs="Arial"/>
                <w:sz w:val="22"/>
                <w:szCs w:val="22"/>
              </w:rPr>
              <w:t>1</w:t>
            </w:r>
            <w:r>
              <w:rPr>
                <w:rFonts w:ascii="Arial" w:hAnsi="Arial" w:cs="Arial"/>
                <w:sz w:val="22"/>
                <w:szCs w:val="22"/>
              </w:rPr>
              <w:t>6</w:t>
            </w:r>
            <w:r w:rsidRPr="00D03D11">
              <w:rPr>
                <w:rFonts w:ascii="Arial" w:hAnsi="Arial" w:cs="Arial"/>
                <w:sz w:val="22"/>
                <w:szCs w:val="22"/>
              </w:rPr>
              <w:t>,</w:t>
            </w:r>
            <w:r>
              <w:rPr>
                <w:rFonts w:ascii="Arial" w:hAnsi="Arial" w:cs="Arial"/>
                <w:sz w:val="22"/>
                <w:szCs w:val="22"/>
              </w:rPr>
              <w:t>779</w:t>
            </w:r>
            <w:r w:rsidRPr="00D03D11">
              <w:rPr>
                <w:rFonts w:ascii="Arial" w:hAnsi="Arial" w:cs="Arial"/>
                <w:sz w:val="22"/>
                <w:szCs w:val="22"/>
              </w:rPr>
              <w:t>,</w:t>
            </w:r>
            <w:r>
              <w:rPr>
                <w:rFonts w:ascii="Arial" w:hAnsi="Arial" w:cs="Arial"/>
                <w:sz w:val="22"/>
                <w:szCs w:val="22"/>
              </w:rPr>
              <w:t>879</w:t>
            </w:r>
            <w:r w:rsidRPr="00D03D11">
              <w:rPr>
                <w:rFonts w:ascii="Arial" w:hAnsi="Arial" w:cs="Arial"/>
                <w:sz w:val="22"/>
                <w:szCs w:val="22"/>
              </w:rPr>
              <w:t>.</w:t>
            </w:r>
            <w:r>
              <w:rPr>
                <w:rFonts w:ascii="Arial" w:hAnsi="Arial" w:cs="Arial"/>
                <w:sz w:val="22"/>
                <w:szCs w:val="22"/>
              </w:rPr>
              <w:t>1</w:t>
            </w:r>
            <w:r w:rsidRPr="00D03D11">
              <w:rPr>
                <w:rFonts w:ascii="Arial" w:hAnsi="Arial" w:cs="Arial"/>
                <w:sz w:val="22"/>
                <w:szCs w:val="22"/>
              </w:rPr>
              <w:t>3</w:t>
            </w:r>
          </w:p>
        </w:tc>
      </w:tr>
    </w:tbl>
    <w:p w:rsidR="007A3471" w:rsidRDefault="007A3471" w:rsidP="007A3471">
      <w:pPr>
        <w:rPr>
          <w:rFonts w:ascii="Arial" w:hAnsi="Arial" w:cs="Arial"/>
          <w:b/>
          <w:sz w:val="22"/>
          <w:szCs w:val="22"/>
        </w:rPr>
      </w:pPr>
    </w:p>
    <w:p w:rsidR="007A3471" w:rsidRDefault="007A3471" w:rsidP="00CD1EF7">
      <w:pPr>
        <w:ind w:left="360"/>
        <w:rPr>
          <w:rFonts w:ascii="Arial" w:hAnsi="Arial" w:cs="Arial"/>
          <w:sz w:val="22"/>
          <w:szCs w:val="22"/>
        </w:rPr>
      </w:pPr>
    </w:p>
    <w:p w:rsidR="007A3471" w:rsidRPr="007A3471" w:rsidRDefault="007A3471" w:rsidP="007A3471">
      <w:pPr>
        <w:pStyle w:val="BlockText"/>
        <w:numPr>
          <w:ilvl w:val="0"/>
          <w:numId w:val="10"/>
        </w:numPr>
        <w:tabs>
          <w:tab w:val="clear" w:pos="7740"/>
        </w:tabs>
        <w:ind w:right="0"/>
        <w:rPr>
          <w:b/>
          <w:color w:val="auto"/>
        </w:rPr>
      </w:pPr>
      <w:r>
        <w:rPr>
          <w:b/>
          <w:color w:val="auto"/>
        </w:rPr>
        <w:t>Other Matters</w:t>
      </w:r>
    </w:p>
    <w:p w:rsidR="00A45F91" w:rsidRDefault="00A45F91" w:rsidP="00CD1EF7">
      <w:pPr>
        <w:ind w:left="360"/>
        <w:rPr>
          <w:rFonts w:ascii="Arial" w:hAnsi="Arial" w:cs="Arial"/>
          <w:sz w:val="22"/>
          <w:szCs w:val="22"/>
        </w:rPr>
      </w:pPr>
    </w:p>
    <w:p w:rsidR="00A45F91" w:rsidRPr="00A45F91" w:rsidRDefault="00A45F91" w:rsidP="00A45F91">
      <w:pPr>
        <w:pStyle w:val="BlockText"/>
        <w:ind w:left="0" w:firstLine="0"/>
        <w:rPr>
          <w:b/>
          <w:color w:val="auto"/>
        </w:rPr>
      </w:pPr>
      <w:r>
        <w:rPr>
          <w:b/>
        </w:rPr>
        <w:t xml:space="preserve">      </w:t>
      </w:r>
      <w:r w:rsidRPr="00A45F91">
        <w:rPr>
          <w:b/>
          <w:color w:val="auto"/>
        </w:rPr>
        <w:t>Compliance with Republic Act (R.A.) Nos. 656 and 8291</w:t>
      </w:r>
    </w:p>
    <w:p w:rsidR="00A45F91" w:rsidRPr="00A45F91" w:rsidRDefault="00A45F91" w:rsidP="00A45F91">
      <w:pPr>
        <w:pStyle w:val="BlockText"/>
        <w:ind w:left="540" w:hanging="540"/>
        <w:rPr>
          <w:color w:val="auto"/>
        </w:rPr>
      </w:pPr>
      <w:r w:rsidRPr="00A45F91">
        <w:rPr>
          <w:color w:val="auto"/>
        </w:rPr>
        <w:tab/>
        <w:t xml:space="preserve"> </w:t>
      </w:r>
    </w:p>
    <w:p w:rsidR="00A45F91" w:rsidRPr="00A45F91" w:rsidRDefault="00A45F91" w:rsidP="00A45F91">
      <w:pPr>
        <w:pStyle w:val="BlockText"/>
        <w:rPr>
          <w:color w:val="auto"/>
        </w:rPr>
      </w:pPr>
      <w:r w:rsidRPr="00A45F91">
        <w:rPr>
          <w:color w:val="auto"/>
        </w:rPr>
        <w:tab/>
        <w:t xml:space="preserve">PADC has insured its hangars and motor vehicles with GSIS pursuant to R.A. 656 as amended by Presidential Decree No. 245.  A </w:t>
      </w:r>
      <w:r w:rsidR="00DA2CEB">
        <w:rPr>
          <w:color w:val="auto"/>
        </w:rPr>
        <w:t>total of P</w:t>
      </w:r>
      <w:r w:rsidRPr="00A45F91">
        <w:rPr>
          <w:color w:val="auto"/>
        </w:rPr>
        <w:t>533,699 ha</w:t>
      </w:r>
      <w:r w:rsidR="00444781">
        <w:rPr>
          <w:color w:val="auto"/>
        </w:rPr>
        <w:t>s</w:t>
      </w:r>
      <w:r w:rsidRPr="00A45F91">
        <w:rPr>
          <w:color w:val="auto"/>
        </w:rPr>
        <w:t xml:space="preserve"> been paid as insurance premiums in 2014. </w:t>
      </w:r>
    </w:p>
    <w:p w:rsidR="00A45F91" w:rsidRPr="00A45F91" w:rsidRDefault="00A45F91" w:rsidP="00A45F91">
      <w:pPr>
        <w:pStyle w:val="BlockText"/>
        <w:rPr>
          <w:color w:val="auto"/>
        </w:rPr>
      </w:pPr>
    </w:p>
    <w:p w:rsidR="00A45F91" w:rsidRPr="00A45F91" w:rsidRDefault="00A45F91" w:rsidP="00A45F91">
      <w:pPr>
        <w:pStyle w:val="BlockText"/>
        <w:rPr>
          <w:color w:val="auto"/>
        </w:rPr>
      </w:pPr>
      <w:r w:rsidRPr="00A45F91">
        <w:rPr>
          <w:color w:val="auto"/>
        </w:rPr>
        <w:tab/>
        <w:t>PADC has been consistently deducting GSIS premiums from the salaries of its officers and employees and remitting the State Insurance Fund (SIF) and Employees Compensation Insurance Fund (ECIF) premiums to the GSIS in accordance with R.A. No. 8291.  A total of P5.345 million was remitted in CY 2014.</w:t>
      </w:r>
    </w:p>
    <w:p w:rsidR="00A45F91" w:rsidRDefault="00A45F91" w:rsidP="00CD1EF7">
      <w:pPr>
        <w:ind w:left="360"/>
        <w:rPr>
          <w:rFonts w:ascii="Arial" w:hAnsi="Arial" w:cs="Arial"/>
          <w:sz w:val="22"/>
          <w:szCs w:val="22"/>
        </w:rPr>
      </w:pPr>
    </w:p>
    <w:sectPr w:rsidR="00A45F91" w:rsidSect="00FB6C27">
      <w:footerReference w:type="default" r:id="rId10"/>
      <w:pgSz w:w="12240" w:h="15840" w:code="1"/>
      <w:pgMar w:top="1440" w:right="1440" w:bottom="1440" w:left="1728"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4DA" w:rsidRDefault="00E424DA" w:rsidP="00043A62">
      <w:r>
        <w:separator/>
      </w:r>
    </w:p>
  </w:endnote>
  <w:endnote w:type="continuationSeparator" w:id="0">
    <w:p w:rsidR="00E424DA" w:rsidRDefault="00E424DA" w:rsidP="0004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55" w:rsidRPr="009F7355" w:rsidRDefault="008B26BB">
    <w:pPr>
      <w:pStyle w:val="Footer"/>
      <w:jc w:val="right"/>
      <w:rPr>
        <w:rFonts w:ascii="Arial" w:hAnsi="Arial"/>
        <w:sz w:val="20"/>
      </w:rPr>
    </w:pPr>
    <w:r w:rsidRPr="009F7355">
      <w:rPr>
        <w:rFonts w:ascii="Arial" w:hAnsi="Arial"/>
        <w:sz w:val="20"/>
      </w:rPr>
      <w:fldChar w:fldCharType="begin"/>
    </w:r>
    <w:r w:rsidR="009F7355" w:rsidRPr="009F7355">
      <w:rPr>
        <w:rFonts w:ascii="Arial" w:hAnsi="Arial"/>
        <w:sz w:val="20"/>
      </w:rPr>
      <w:instrText xml:space="preserve"> PAGE   \* MERGEFORMAT </w:instrText>
    </w:r>
    <w:r w:rsidRPr="009F7355">
      <w:rPr>
        <w:rFonts w:ascii="Arial" w:hAnsi="Arial"/>
        <w:sz w:val="20"/>
      </w:rPr>
      <w:fldChar w:fldCharType="separate"/>
    </w:r>
    <w:r w:rsidR="00986F48">
      <w:rPr>
        <w:rFonts w:ascii="Arial" w:hAnsi="Arial"/>
        <w:noProof/>
        <w:sz w:val="20"/>
      </w:rPr>
      <w:t>18</w:t>
    </w:r>
    <w:r w:rsidRPr="009F7355">
      <w:rPr>
        <w:rFonts w:ascii="Arial" w:hAnsi="Arial"/>
        <w:sz w:val="20"/>
      </w:rPr>
      <w:fldChar w:fldCharType="end"/>
    </w:r>
  </w:p>
  <w:p w:rsidR="009B40BD" w:rsidRPr="00FB6C27" w:rsidRDefault="009B40BD">
    <w:pPr>
      <w:pStyle w:val="Footer"/>
      <w:jc w:val="right"/>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4DA" w:rsidRDefault="00E424DA" w:rsidP="00043A62">
      <w:r>
        <w:separator/>
      </w:r>
    </w:p>
  </w:footnote>
  <w:footnote w:type="continuationSeparator" w:id="0">
    <w:p w:rsidR="00E424DA" w:rsidRDefault="00E424DA" w:rsidP="00043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890"/>
    <w:multiLevelType w:val="hybridMultilevel"/>
    <w:tmpl w:val="D5EAE9F4"/>
    <w:lvl w:ilvl="0" w:tplc="0409000F">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35F138F"/>
    <w:multiLevelType w:val="hybridMultilevel"/>
    <w:tmpl w:val="4E906AC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58E6"/>
    <w:multiLevelType w:val="hybridMultilevel"/>
    <w:tmpl w:val="3C5032B6"/>
    <w:lvl w:ilvl="0" w:tplc="13727A6C">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D8117E"/>
    <w:multiLevelType w:val="hybridMultilevel"/>
    <w:tmpl w:val="03425350"/>
    <w:lvl w:ilvl="0" w:tplc="98D4A776">
      <w:start w:val="1"/>
      <w:numFmt w:val="lowerLetter"/>
      <w:lvlText w:val="%1."/>
      <w:lvlJc w:val="left"/>
      <w:pPr>
        <w:tabs>
          <w:tab w:val="num" w:pos="990"/>
        </w:tabs>
        <w:ind w:left="990" w:hanging="360"/>
      </w:pPr>
      <w:rPr>
        <w:rFonts w:ascii="Arial" w:eastAsia="Times New Roman" w:hAnsi="Arial" w:cs="Arial"/>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13927C66"/>
    <w:multiLevelType w:val="hybridMultilevel"/>
    <w:tmpl w:val="A434D98C"/>
    <w:lvl w:ilvl="0" w:tplc="592C5D2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35BAA"/>
    <w:multiLevelType w:val="hybridMultilevel"/>
    <w:tmpl w:val="2932B7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951AC"/>
    <w:multiLevelType w:val="hybridMultilevel"/>
    <w:tmpl w:val="37BC6F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56B3D"/>
    <w:multiLevelType w:val="hybridMultilevel"/>
    <w:tmpl w:val="6EEA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241C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C20256F"/>
    <w:multiLevelType w:val="hybridMultilevel"/>
    <w:tmpl w:val="13482756"/>
    <w:lvl w:ilvl="0" w:tplc="3409000F">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ED6885"/>
    <w:multiLevelType w:val="hybridMultilevel"/>
    <w:tmpl w:val="E21A8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D66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422C"/>
    <w:multiLevelType w:val="hybridMultilevel"/>
    <w:tmpl w:val="A6ACB8B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ED3D60"/>
    <w:multiLevelType w:val="hybridMultilevel"/>
    <w:tmpl w:val="89480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760F3E"/>
    <w:multiLevelType w:val="hybridMultilevel"/>
    <w:tmpl w:val="C4CE99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751244"/>
    <w:multiLevelType w:val="hybridMultilevel"/>
    <w:tmpl w:val="B612764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52BA8"/>
    <w:multiLevelType w:val="hybridMultilevel"/>
    <w:tmpl w:val="C48E033E"/>
    <w:lvl w:ilvl="0" w:tplc="1F7E699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A34FAF"/>
    <w:multiLevelType w:val="hybridMultilevel"/>
    <w:tmpl w:val="89B8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252E7"/>
    <w:multiLevelType w:val="hybridMultilevel"/>
    <w:tmpl w:val="826E5532"/>
    <w:lvl w:ilvl="0" w:tplc="F996A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D5861"/>
    <w:multiLevelType w:val="hybridMultilevel"/>
    <w:tmpl w:val="7D8E4BA4"/>
    <w:lvl w:ilvl="0" w:tplc="9BBAB9B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106B0"/>
    <w:multiLevelType w:val="hybridMultilevel"/>
    <w:tmpl w:val="EF58C032"/>
    <w:lvl w:ilvl="0" w:tplc="47A4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012B38"/>
    <w:multiLevelType w:val="hybridMultilevel"/>
    <w:tmpl w:val="646CEA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21D2C"/>
    <w:multiLevelType w:val="hybridMultilevel"/>
    <w:tmpl w:val="1B4EC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451B1"/>
    <w:multiLevelType w:val="hybridMultilevel"/>
    <w:tmpl w:val="B7C80E08"/>
    <w:lvl w:ilvl="0" w:tplc="C14C2B70">
      <w:start w:val="3"/>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77E4D5E"/>
    <w:multiLevelType w:val="hybridMultilevel"/>
    <w:tmpl w:val="88F6BF9A"/>
    <w:lvl w:ilvl="0" w:tplc="A37420D4">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CD0995"/>
    <w:multiLevelType w:val="hybridMultilevel"/>
    <w:tmpl w:val="2C704C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429C5"/>
    <w:multiLevelType w:val="hybridMultilevel"/>
    <w:tmpl w:val="B918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6120B"/>
    <w:multiLevelType w:val="hybridMultilevel"/>
    <w:tmpl w:val="34ECA9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1150A"/>
    <w:multiLevelType w:val="hybridMultilevel"/>
    <w:tmpl w:val="782CA8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221CB"/>
    <w:multiLevelType w:val="hybridMultilevel"/>
    <w:tmpl w:val="D8ACD5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648C4"/>
    <w:multiLevelType w:val="hybridMultilevel"/>
    <w:tmpl w:val="373A1E42"/>
    <w:lvl w:ilvl="0" w:tplc="4C3040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0473C"/>
    <w:multiLevelType w:val="hybridMultilevel"/>
    <w:tmpl w:val="FE10776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4B3F28"/>
    <w:multiLevelType w:val="hybridMultilevel"/>
    <w:tmpl w:val="3F24A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3"/>
  </w:num>
  <w:num w:numId="4">
    <w:abstractNumId w:val="16"/>
  </w:num>
  <w:num w:numId="5">
    <w:abstractNumId w:val="8"/>
  </w:num>
  <w:num w:numId="6">
    <w:abstractNumId w:val="4"/>
  </w:num>
  <w:num w:numId="7">
    <w:abstractNumId w:val="25"/>
  </w:num>
  <w:num w:numId="8">
    <w:abstractNumId w:val="28"/>
  </w:num>
  <w:num w:numId="9">
    <w:abstractNumId w:val="9"/>
  </w:num>
  <w:num w:numId="10">
    <w:abstractNumId w:val="2"/>
  </w:num>
  <w:num w:numId="11">
    <w:abstractNumId w:val="30"/>
  </w:num>
  <w:num w:numId="12">
    <w:abstractNumId w:val="29"/>
  </w:num>
  <w:num w:numId="13">
    <w:abstractNumId w:val="19"/>
  </w:num>
  <w:num w:numId="14">
    <w:abstractNumId w:val="1"/>
  </w:num>
  <w:num w:numId="15">
    <w:abstractNumId w:val="27"/>
  </w:num>
  <w:num w:numId="16">
    <w:abstractNumId w:val="15"/>
  </w:num>
  <w:num w:numId="17">
    <w:abstractNumId w:val="5"/>
  </w:num>
  <w:num w:numId="18">
    <w:abstractNumId w:val="12"/>
  </w:num>
  <w:num w:numId="19">
    <w:abstractNumId w:val="20"/>
  </w:num>
  <w:num w:numId="20">
    <w:abstractNumId w:val="7"/>
  </w:num>
  <w:num w:numId="21">
    <w:abstractNumId w:val="23"/>
  </w:num>
  <w:num w:numId="22">
    <w:abstractNumId w:val="17"/>
  </w:num>
  <w:num w:numId="23">
    <w:abstractNumId w:val="10"/>
  </w:num>
  <w:num w:numId="24">
    <w:abstractNumId w:val="31"/>
  </w:num>
  <w:num w:numId="25">
    <w:abstractNumId w:val="26"/>
  </w:num>
  <w:num w:numId="26">
    <w:abstractNumId w:val="21"/>
  </w:num>
  <w:num w:numId="27">
    <w:abstractNumId w:val="0"/>
  </w:num>
  <w:num w:numId="28">
    <w:abstractNumId w:val="11"/>
  </w:num>
  <w:num w:numId="29">
    <w:abstractNumId w:val="22"/>
  </w:num>
  <w:num w:numId="30">
    <w:abstractNumId w:val="14"/>
  </w:num>
  <w:num w:numId="31">
    <w:abstractNumId w:val="32"/>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MlaULh3roKxjYKRzqDgqHDTHLYY1WEXp1LdjDj3i9a1CktfCym4vCO/uESI+nLrbIeIijLr69onAjAh+9zHb1Q==" w:salt="VpPBOU9eFqdvIbOTzMelfA=="/>
  <w:defaultTabStop w:val="432"/>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DD4D5A"/>
    <w:rsid w:val="00000458"/>
    <w:rsid w:val="000017B7"/>
    <w:rsid w:val="00002817"/>
    <w:rsid w:val="0000416B"/>
    <w:rsid w:val="00005C46"/>
    <w:rsid w:val="00006892"/>
    <w:rsid w:val="00007BB7"/>
    <w:rsid w:val="000109B7"/>
    <w:rsid w:val="000177FB"/>
    <w:rsid w:val="000179A4"/>
    <w:rsid w:val="00025935"/>
    <w:rsid w:val="00027F5B"/>
    <w:rsid w:val="00037030"/>
    <w:rsid w:val="0003718D"/>
    <w:rsid w:val="00037A4B"/>
    <w:rsid w:val="00037AE7"/>
    <w:rsid w:val="000409F9"/>
    <w:rsid w:val="00040AA3"/>
    <w:rsid w:val="000411BB"/>
    <w:rsid w:val="00043A62"/>
    <w:rsid w:val="00045DD8"/>
    <w:rsid w:val="00047BD0"/>
    <w:rsid w:val="000535F9"/>
    <w:rsid w:val="00055DF1"/>
    <w:rsid w:val="0005644F"/>
    <w:rsid w:val="000612A1"/>
    <w:rsid w:val="000618DC"/>
    <w:rsid w:val="00061902"/>
    <w:rsid w:val="00064677"/>
    <w:rsid w:val="00070738"/>
    <w:rsid w:val="00081167"/>
    <w:rsid w:val="000874C0"/>
    <w:rsid w:val="00095370"/>
    <w:rsid w:val="00096637"/>
    <w:rsid w:val="000A3862"/>
    <w:rsid w:val="000A4D5D"/>
    <w:rsid w:val="000A58EA"/>
    <w:rsid w:val="000A7566"/>
    <w:rsid w:val="000B0C03"/>
    <w:rsid w:val="000B17D5"/>
    <w:rsid w:val="000B2567"/>
    <w:rsid w:val="000B3405"/>
    <w:rsid w:val="000B6C66"/>
    <w:rsid w:val="000B7232"/>
    <w:rsid w:val="000C0FE1"/>
    <w:rsid w:val="000C12C3"/>
    <w:rsid w:val="000C3C55"/>
    <w:rsid w:val="000C7120"/>
    <w:rsid w:val="000D341F"/>
    <w:rsid w:val="000E1A02"/>
    <w:rsid w:val="000E22B0"/>
    <w:rsid w:val="000E553A"/>
    <w:rsid w:val="000E758F"/>
    <w:rsid w:val="000F3829"/>
    <w:rsid w:val="000F52DE"/>
    <w:rsid w:val="000F5D53"/>
    <w:rsid w:val="0010278C"/>
    <w:rsid w:val="0010501B"/>
    <w:rsid w:val="00106D31"/>
    <w:rsid w:val="0011410A"/>
    <w:rsid w:val="00115618"/>
    <w:rsid w:val="0011688C"/>
    <w:rsid w:val="0012056D"/>
    <w:rsid w:val="0012093D"/>
    <w:rsid w:val="00131160"/>
    <w:rsid w:val="0013410F"/>
    <w:rsid w:val="00136FD0"/>
    <w:rsid w:val="001412D5"/>
    <w:rsid w:val="0015152C"/>
    <w:rsid w:val="00151E23"/>
    <w:rsid w:val="0015402C"/>
    <w:rsid w:val="00154247"/>
    <w:rsid w:val="0016046F"/>
    <w:rsid w:val="0016357F"/>
    <w:rsid w:val="00164575"/>
    <w:rsid w:val="001653AA"/>
    <w:rsid w:val="00167306"/>
    <w:rsid w:val="00177025"/>
    <w:rsid w:val="00177528"/>
    <w:rsid w:val="00177A8B"/>
    <w:rsid w:val="001818F9"/>
    <w:rsid w:val="00183016"/>
    <w:rsid w:val="001830E6"/>
    <w:rsid w:val="00183327"/>
    <w:rsid w:val="00183718"/>
    <w:rsid w:val="00186CEA"/>
    <w:rsid w:val="001871D2"/>
    <w:rsid w:val="00194105"/>
    <w:rsid w:val="001961AC"/>
    <w:rsid w:val="001A029D"/>
    <w:rsid w:val="001A59F4"/>
    <w:rsid w:val="001B4C18"/>
    <w:rsid w:val="001B518D"/>
    <w:rsid w:val="001B7754"/>
    <w:rsid w:val="001B77F0"/>
    <w:rsid w:val="001C3AAE"/>
    <w:rsid w:val="001C4709"/>
    <w:rsid w:val="001D0CA7"/>
    <w:rsid w:val="001D2EDA"/>
    <w:rsid w:val="001E082C"/>
    <w:rsid w:val="001F44F3"/>
    <w:rsid w:val="001F7A24"/>
    <w:rsid w:val="00200F55"/>
    <w:rsid w:val="00210FCF"/>
    <w:rsid w:val="00211430"/>
    <w:rsid w:val="002129DB"/>
    <w:rsid w:val="00220067"/>
    <w:rsid w:val="00221187"/>
    <w:rsid w:val="0022135F"/>
    <w:rsid w:val="00223B08"/>
    <w:rsid w:val="00224DA5"/>
    <w:rsid w:val="00225323"/>
    <w:rsid w:val="00225782"/>
    <w:rsid w:val="002301A9"/>
    <w:rsid w:val="002302A5"/>
    <w:rsid w:val="0023032C"/>
    <w:rsid w:val="00230626"/>
    <w:rsid w:val="00235AF4"/>
    <w:rsid w:val="002367AD"/>
    <w:rsid w:val="0023722D"/>
    <w:rsid w:val="00240DEE"/>
    <w:rsid w:val="00242252"/>
    <w:rsid w:val="002448FB"/>
    <w:rsid w:val="00244D74"/>
    <w:rsid w:val="00244F86"/>
    <w:rsid w:val="002455DB"/>
    <w:rsid w:val="00252949"/>
    <w:rsid w:val="002536B2"/>
    <w:rsid w:val="0025407E"/>
    <w:rsid w:val="00256C58"/>
    <w:rsid w:val="00261769"/>
    <w:rsid w:val="00264DC2"/>
    <w:rsid w:val="00274EA1"/>
    <w:rsid w:val="00276C34"/>
    <w:rsid w:val="00276F86"/>
    <w:rsid w:val="0027720F"/>
    <w:rsid w:val="002818CB"/>
    <w:rsid w:val="00291135"/>
    <w:rsid w:val="0029135F"/>
    <w:rsid w:val="00293AB9"/>
    <w:rsid w:val="002A223B"/>
    <w:rsid w:val="002B105B"/>
    <w:rsid w:val="002B2CE1"/>
    <w:rsid w:val="002B2DCE"/>
    <w:rsid w:val="002B5F30"/>
    <w:rsid w:val="002C00F8"/>
    <w:rsid w:val="002C01E3"/>
    <w:rsid w:val="002C0468"/>
    <w:rsid w:val="002C0B12"/>
    <w:rsid w:val="002C0D35"/>
    <w:rsid w:val="002C173E"/>
    <w:rsid w:val="002C287F"/>
    <w:rsid w:val="002C4128"/>
    <w:rsid w:val="002C6A10"/>
    <w:rsid w:val="002D077C"/>
    <w:rsid w:val="002D3FCD"/>
    <w:rsid w:val="002D4949"/>
    <w:rsid w:val="002D4D31"/>
    <w:rsid w:val="002D50FE"/>
    <w:rsid w:val="002D7459"/>
    <w:rsid w:val="002E1509"/>
    <w:rsid w:val="002E2F19"/>
    <w:rsid w:val="002F001E"/>
    <w:rsid w:val="002F0D07"/>
    <w:rsid w:val="002F110D"/>
    <w:rsid w:val="002F12F0"/>
    <w:rsid w:val="002F4E80"/>
    <w:rsid w:val="002F4E91"/>
    <w:rsid w:val="0030414C"/>
    <w:rsid w:val="00305E24"/>
    <w:rsid w:val="00307B63"/>
    <w:rsid w:val="00320AA6"/>
    <w:rsid w:val="0032128E"/>
    <w:rsid w:val="003240C6"/>
    <w:rsid w:val="00327D93"/>
    <w:rsid w:val="00327F47"/>
    <w:rsid w:val="0033318F"/>
    <w:rsid w:val="0033391D"/>
    <w:rsid w:val="00334216"/>
    <w:rsid w:val="00334E2F"/>
    <w:rsid w:val="003437DD"/>
    <w:rsid w:val="00343DC0"/>
    <w:rsid w:val="00350F1A"/>
    <w:rsid w:val="00352A68"/>
    <w:rsid w:val="0035559A"/>
    <w:rsid w:val="0035601B"/>
    <w:rsid w:val="00362A71"/>
    <w:rsid w:val="00365C54"/>
    <w:rsid w:val="003716C7"/>
    <w:rsid w:val="00373894"/>
    <w:rsid w:val="00373C99"/>
    <w:rsid w:val="00374D34"/>
    <w:rsid w:val="0038074E"/>
    <w:rsid w:val="003873E3"/>
    <w:rsid w:val="00391B75"/>
    <w:rsid w:val="0039373D"/>
    <w:rsid w:val="003952D2"/>
    <w:rsid w:val="00396D56"/>
    <w:rsid w:val="003A0326"/>
    <w:rsid w:val="003A14E0"/>
    <w:rsid w:val="003A5FB0"/>
    <w:rsid w:val="003B0605"/>
    <w:rsid w:val="003B164C"/>
    <w:rsid w:val="003B2DEA"/>
    <w:rsid w:val="003B6A34"/>
    <w:rsid w:val="003C399F"/>
    <w:rsid w:val="003C48E4"/>
    <w:rsid w:val="003C6EF5"/>
    <w:rsid w:val="003C7996"/>
    <w:rsid w:val="003D0D05"/>
    <w:rsid w:val="003D1F62"/>
    <w:rsid w:val="003D4A9C"/>
    <w:rsid w:val="003E098A"/>
    <w:rsid w:val="003E17EF"/>
    <w:rsid w:val="003E55BB"/>
    <w:rsid w:val="003F0A5E"/>
    <w:rsid w:val="003F15F5"/>
    <w:rsid w:val="003F28EF"/>
    <w:rsid w:val="003F6B23"/>
    <w:rsid w:val="003F72A8"/>
    <w:rsid w:val="003F7640"/>
    <w:rsid w:val="004008A4"/>
    <w:rsid w:val="00403137"/>
    <w:rsid w:val="004074CA"/>
    <w:rsid w:val="00412858"/>
    <w:rsid w:val="00423560"/>
    <w:rsid w:val="004267F9"/>
    <w:rsid w:val="004275BF"/>
    <w:rsid w:val="00427D1D"/>
    <w:rsid w:val="004400F7"/>
    <w:rsid w:val="00440EF7"/>
    <w:rsid w:val="00444781"/>
    <w:rsid w:val="0044649C"/>
    <w:rsid w:val="0044713D"/>
    <w:rsid w:val="00451A68"/>
    <w:rsid w:val="00451CEF"/>
    <w:rsid w:val="00454317"/>
    <w:rsid w:val="00456270"/>
    <w:rsid w:val="004604CC"/>
    <w:rsid w:val="00460715"/>
    <w:rsid w:val="004610C4"/>
    <w:rsid w:val="0046246F"/>
    <w:rsid w:val="00462881"/>
    <w:rsid w:val="00463FB8"/>
    <w:rsid w:val="004766D5"/>
    <w:rsid w:val="00480B29"/>
    <w:rsid w:val="00484B56"/>
    <w:rsid w:val="00492F5F"/>
    <w:rsid w:val="004A2216"/>
    <w:rsid w:val="004A4721"/>
    <w:rsid w:val="004B18A9"/>
    <w:rsid w:val="004B2E3C"/>
    <w:rsid w:val="004B62B0"/>
    <w:rsid w:val="004C304F"/>
    <w:rsid w:val="004D10A1"/>
    <w:rsid w:val="004D1E6F"/>
    <w:rsid w:val="004D2A39"/>
    <w:rsid w:val="004E38C8"/>
    <w:rsid w:val="004E3F8D"/>
    <w:rsid w:val="004F4525"/>
    <w:rsid w:val="004F57E6"/>
    <w:rsid w:val="004F6456"/>
    <w:rsid w:val="004F6E44"/>
    <w:rsid w:val="00505E4A"/>
    <w:rsid w:val="00506A52"/>
    <w:rsid w:val="00506BF8"/>
    <w:rsid w:val="00507692"/>
    <w:rsid w:val="00507BDC"/>
    <w:rsid w:val="00511C64"/>
    <w:rsid w:val="00517013"/>
    <w:rsid w:val="0052050C"/>
    <w:rsid w:val="00524245"/>
    <w:rsid w:val="00526D22"/>
    <w:rsid w:val="00531C00"/>
    <w:rsid w:val="00533799"/>
    <w:rsid w:val="00533DBD"/>
    <w:rsid w:val="00534135"/>
    <w:rsid w:val="00534D18"/>
    <w:rsid w:val="00535D93"/>
    <w:rsid w:val="0053758F"/>
    <w:rsid w:val="00540A80"/>
    <w:rsid w:val="005426A1"/>
    <w:rsid w:val="00546E5B"/>
    <w:rsid w:val="005549E9"/>
    <w:rsid w:val="00555055"/>
    <w:rsid w:val="0055570B"/>
    <w:rsid w:val="0055654D"/>
    <w:rsid w:val="00557007"/>
    <w:rsid w:val="00562C3C"/>
    <w:rsid w:val="0056549E"/>
    <w:rsid w:val="005713E9"/>
    <w:rsid w:val="00574485"/>
    <w:rsid w:val="005753DC"/>
    <w:rsid w:val="0058164E"/>
    <w:rsid w:val="00586708"/>
    <w:rsid w:val="0059001E"/>
    <w:rsid w:val="0059030F"/>
    <w:rsid w:val="005918DC"/>
    <w:rsid w:val="00595CFC"/>
    <w:rsid w:val="0059686C"/>
    <w:rsid w:val="005A0B1A"/>
    <w:rsid w:val="005A33D8"/>
    <w:rsid w:val="005A393C"/>
    <w:rsid w:val="005A4086"/>
    <w:rsid w:val="005A7473"/>
    <w:rsid w:val="005B1670"/>
    <w:rsid w:val="005B2F01"/>
    <w:rsid w:val="005B6BC8"/>
    <w:rsid w:val="005B755C"/>
    <w:rsid w:val="005B7932"/>
    <w:rsid w:val="005C01FB"/>
    <w:rsid w:val="005C0942"/>
    <w:rsid w:val="005C113E"/>
    <w:rsid w:val="005C3725"/>
    <w:rsid w:val="005C4A0D"/>
    <w:rsid w:val="005C52C7"/>
    <w:rsid w:val="005C6113"/>
    <w:rsid w:val="005D03D4"/>
    <w:rsid w:val="005D1E82"/>
    <w:rsid w:val="005D4B22"/>
    <w:rsid w:val="005D578A"/>
    <w:rsid w:val="005D6F2B"/>
    <w:rsid w:val="005E128B"/>
    <w:rsid w:val="005E18AC"/>
    <w:rsid w:val="005E23B2"/>
    <w:rsid w:val="005E4339"/>
    <w:rsid w:val="005E506A"/>
    <w:rsid w:val="005F016F"/>
    <w:rsid w:val="005F66FB"/>
    <w:rsid w:val="0061214A"/>
    <w:rsid w:val="00617506"/>
    <w:rsid w:val="00617D94"/>
    <w:rsid w:val="0062006F"/>
    <w:rsid w:val="00622282"/>
    <w:rsid w:val="006232C5"/>
    <w:rsid w:val="00623824"/>
    <w:rsid w:val="00624025"/>
    <w:rsid w:val="00625072"/>
    <w:rsid w:val="006352B3"/>
    <w:rsid w:val="006361B8"/>
    <w:rsid w:val="00641882"/>
    <w:rsid w:val="00641D62"/>
    <w:rsid w:val="006524F7"/>
    <w:rsid w:val="0065251A"/>
    <w:rsid w:val="006527B5"/>
    <w:rsid w:val="00654857"/>
    <w:rsid w:val="006573DF"/>
    <w:rsid w:val="00657EBA"/>
    <w:rsid w:val="006603AF"/>
    <w:rsid w:val="0066231A"/>
    <w:rsid w:val="00665B56"/>
    <w:rsid w:val="00665FEB"/>
    <w:rsid w:val="00672628"/>
    <w:rsid w:val="00672ABA"/>
    <w:rsid w:val="006767E5"/>
    <w:rsid w:val="0068145D"/>
    <w:rsid w:val="00681C9B"/>
    <w:rsid w:val="00682F27"/>
    <w:rsid w:val="00683D30"/>
    <w:rsid w:val="00694ACA"/>
    <w:rsid w:val="006953CD"/>
    <w:rsid w:val="00697112"/>
    <w:rsid w:val="00697664"/>
    <w:rsid w:val="00697B9E"/>
    <w:rsid w:val="006A27BD"/>
    <w:rsid w:val="006A531F"/>
    <w:rsid w:val="006A77DE"/>
    <w:rsid w:val="006B057E"/>
    <w:rsid w:val="006B2C1A"/>
    <w:rsid w:val="006B5876"/>
    <w:rsid w:val="006B73F1"/>
    <w:rsid w:val="006C0490"/>
    <w:rsid w:val="006C1953"/>
    <w:rsid w:val="006C332F"/>
    <w:rsid w:val="006C4019"/>
    <w:rsid w:val="006C4A31"/>
    <w:rsid w:val="006C5FD3"/>
    <w:rsid w:val="006C6C0A"/>
    <w:rsid w:val="006C7FEC"/>
    <w:rsid w:val="006D4589"/>
    <w:rsid w:val="006D4F59"/>
    <w:rsid w:val="006D6737"/>
    <w:rsid w:val="006E035B"/>
    <w:rsid w:val="006E0C59"/>
    <w:rsid w:val="006E195C"/>
    <w:rsid w:val="006E5D4A"/>
    <w:rsid w:val="006F1359"/>
    <w:rsid w:val="006F49FB"/>
    <w:rsid w:val="006F74BB"/>
    <w:rsid w:val="0070064B"/>
    <w:rsid w:val="007014C3"/>
    <w:rsid w:val="00701C7F"/>
    <w:rsid w:val="0070422F"/>
    <w:rsid w:val="007050CB"/>
    <w:rsid w:val="00705F8D"/>
    <w:rsid w:val="0071142E"/>
    <w:rsid w:val="007147E9"/>
    <w:rsid w:val="007162F1"/>
    <w:rsid w:val="007214C7"/>
    <w:rsid w:val="00723662"/>
    <w:rsid w:val="007248DE"/>
    <w:rsid w:val="007253D5"/>
    <w:rsid w:val="00731DC2"/>
    <w:rsid w:val="00731E0D"/>
    <w:rsid w:val="00732797"/>
    <w:rsid w:val="00737386"/>
    <w:rsid w:val="007415CD"/>
    <w:rsid w:val="007449CC"/>
    <w:rsid w:val="00746AE6"/>
    <w:rsid w:val="007501AD"/>
    <w:rsid w:val="00750348"/>
    <w:rsid w:val="00750DE3"/>
    <w:rsid w:val="00751EFB"/>
    <w:rsid w:val="00753317"/>
    <w:rsid w:val="00755C04"/>
    <w:rsid w:val="00762AEE"/>
    <w:rsid w:val="007640B4"/>
    <w:rsid w:val="00765DE0"/>
    <w:rsid w:val="007664C5"/>
    <w:rsid w:val="00770A1B"/>
    <w:rsid w:val="0077441E"/>
    <w:rsid w:val="00774901"/>
    <w:rsid w:val="00774B7F"/>
    <w:rsid w:val="0078183E"/>
    <w:rsid w:val="00782A84"/>
    <w:rsid w:val="0078357C"/>
    <w:rsid w:val="00783A97"/>
    <w:rsid w:val="00784C7D"/>
    <w:rsid w:val="007876EA"/>
    <w:rsid w:val="00790133"/>
    <w:rsid w:val="00790F99"/>
    <w:rsid w:val="00791208"/>
    <w:rsid w:val="00791E89"/>
    <w:rsid w:val="00796DAD"/>
    <w:rsid w:val="007A3471"/>
    <w:rsid w:val="007A4F0B"/>
    <w:rsid w:val="007A52B5"/>
    <w:rsid w:val="007B1200"/>
    <w:rsid w:val="007B4FC6"/>
    <w:rsid w:val="007B5B16"/>
    <w:rsid w:val="007B67B5"/>
    <w:rsid w:val="007C0253"/>
    <w:rsid w:val="007C077A"/>
    <w:rsid w:val="007C2513"/>
    <w:rsid w:val="007C3011"/>
    <w:rsid w:val="007C38A9"/>
    <w:rsid w:val="007C57D4"/>
    <w:rsid w:val="007D2C58"/>
    <w:rsid w:val="007D4211"/>
    <w:rsid w:val="007D7B8B"/>
    <w:rsid w:val="007E58D2"/>
    <w:rsid w:val="007F13EC"/>
    <w:rsid w:val="007F37C7"/>
    <w:rsid w:val="007F3B39"/>
    <w:rsid w:val="007F6AB2"/>
    <w:rsid w:val="007F7AED"/>
    <w:rsid w:val="007F7C88"/>
    <w:rsid w:val="0080363E"/>
    <w:rsid w:val="00805B32"/>
    <w:rsid w:val="00817874"/>
    <w:rsid w:val="00821352"/>
    <w:rsid w:val="0082441D"/>
    <w:rsid w:val="00827F09"/>
    <w:rsid w:val="00831EE7"/>
    <w:rsid w:val="00832AD6"/>
    <w:rsid w:val="00834067"/>
    <w:rsid w:val="00834D8A"/>
    <w:rsid w:val="008360C2"/>
    <w:rsid w:val="00844998"/>
    <w:rsid w:val="008462D1"/>
    <w:rsid w:val="00852E1E"/>
    <w:rsid w:val="00854067"/>
    <w:rsid w:val="00857C8B"/>
    <w:rsid w:val="0086057A"/>
    <w:rsid w:val="0086216E"/>
    <w:rsid w:val="00863C76"/>
    <w:rsid w:val="00864D83"/>
    <w:rsid w:val="0086749B"/>
    <w:rsid w:val="00872E02"/>
    <w:rsid w:val="00875C65"/>
    <w:rsid w:val="00875CB7"/>
    <w:rsid w:val="008766E9"/>
    <w:rsid w:val="00876F7F"/>
    <w:rsid w:val="008819C5"/>
    <w:rsid w:val="008834E7"/>
    <w:rsid w:val="008865A7"/>
    <w:rsid w:val="00891A27"/>
    <w:rsid w:val="008940CC"/>
    <w:rsid w:val="008947BE"/>
    <w:rsid w:val="008A18BA"/>
    <w:rsid w:val="008A22ED"/>
    <w:rsid w:val="008A26D3"/>
    <w:rsid w:val="008A2AA8"/>
    <w:rsid w:val="008A43B8"/>
    <w:rsid w:val="008A51E7"/>
    <w:rsid w:val="008A51FC"/>
    <w:rsid w:val="008A695E"/>
    <w:rsid w:val="008A7D92"/>
    <w:rsid w:val="008B26BB"/>
    <w:rsid w:val="008B408B"/>
    <w:rsid w:val="008B4B6D"/>
    <w:rsid w:val="008B4FFA"/>
    <w:rsid w:val="008B54F8"/>
    <w:rsid w:val="008B6769"/>
    <w:rsid w:val="008B75E1"/>
    <w:rsid w:val="008C1271"/>
    <w:rsid w:val="008C353F"/>
    <w:rsid w:val="008C6C1F"/>
    <w:rsid w:val="008D5F64"/>
    <w:rsid w:val="008E03CB"/>
    <w:rsid w:val="008E27ED"/>
    <w:rsid w:val="008E64A8"/>
    <w:rsid w:val="008F0E78"/>
    <w:rsid w:val="008F4328"/>
    <w:rsid w:val="008F4840"/>
    <w:rsid w:val="008F541D"/>
    <w:rsid w:val="008F6E79"/>
    <w:rsid w:val="008F7DDC"/>
    <w:rsid w:val="0090075B"/>
    <w:rsid w:val="00901FF3"/>
    <w:rsid w:val="00904481"/>
    <w:rsid w:val="009055B6"/>
    <w:rsid w:val="00915764"/>
    <w:rsid w:val="00922CD0"/>
    <w:rsid w:val="00924C36"/>
    <w:rsid w:val="00927002"/>
    <w:rsid w:val="00930BED"/>
    <w:rsid w:val="009326CF"/>
    <w:rsid w:val="009327DE"/>
    <w:rsid w:val="00932870"/>
    <w:rsid w:val="0093289E"/>
    <w:rsid w:val="00933B48"/>
    <w:rsid w:val="0093516F"/>
    <w:rsid w:val="009353C7"/>
    <w:rsid w:val="00936110"/>
    <w:rsid w:val="00937930"/>
    <w:rsid w:val="00940ED2"/>
    <w:rsid w:val="009449A9"/>
    <w:rsid w:val="00945B5B"/>
    <w:rsid w:val="00945F06"/>
    <w:rsid w:val="00952D1A"/>
    <w:rsid w:val="00953077"/>
    <w:rsid w:val="009536F5"/>
    <w:rsid w:val="00962CD9"/>
    <w:rsid w:val="00966027"/>
    <w:rsid w:val="00971CFB"/>
    <w:rsid w:val="0097231C"/>
    <w:rsid w:val="009729B6"/>
    <w:rsid w:val="00973688"/>
    <w:rsid w:val="00980AB1"/>
    <w:rsid w:val="00982360"/>
    <w:rsid w:val="009828A7"/>
    <w:rsid w:val="00984A3F"/>
    <w:rsid w:val="009850DD"/>
    <w:rsid w:val="0098604A"/>
    <w:rsid w:val="00986F48"/>
    <w:rsid w:val="009872BD"/>
    <w:rsid w:val="00991AE1"/>
    <w:rsid w:val="00991DEF"/>
    <w:rsid w:val="00995DCC"/>
    <w:rsid w:val="009A03D5"/>
    <w:rsid w:val="009A03DA"/>
    <w:rsid w:val="009A3E37"/>
    <w:rsid w:val="009A704F"/>
    <w:rsid w:val="009B06DA"/>
    <w:rsid w:val="009B1CED"/>
    <w:rsid w:val="009B2DB3"/>
    <w:rsid w:val="009B3E84"/>
    <w:rsid w:val="009B40BD"/>
    <w:rsid w:val="009B42F2"/>
    <w:rsid w:val="009B6138"/>
    <w:rsid w:val="009C610E"/>
    <w:rsid w:val="009C6A2D"/>
    <w:rsid w:val="009D0352"/>
    <w:rsid w:val="009D272F"/>
    <w:rsid w:val="009D3575"/>
    <w:rsid w:val="009D6586"/>
    <w:rsid w:val="009D6875"/>
    <w:rsid w:val="009E3556"/>
    <w:rsid w:val="009E5C1B"/>
    <w:rsid w:val="009E745D"/>
    <w:rsid w:val="009F298E"/>
    <w:rsid w:val="009F5956"/>
    <w:rsid w:val="009F6547"/>
    <w:rsid w:val="009F6620"/>
    <w:rsid w:val="009F6FE3"/>
    <w:rsid w:val="009F7355"/>
    <w:rsid w:val="00A04483"/>
    <w:rsid w:val="00A102D5"/>
    <w:rsid w:val="00A118CB"/>
    <w:rsid w:val="00A121E3"/>
    <w:rsid w:val="00A14A91"/>
    <w:rsid w:val="00A14D50"/>
    <w:rsid w:val="00A16959"/>
    <w:rsid w:val="00A214FE"/>
    <w:rsid w:val="00A22BE0"/>
    <w:rsid w:val="00A2497F"/>
    <w:rsid w:val="00A24FED"/>
    <w:rsid w:val="00A26EC6"/>
    <w:rsid w:val="00A27618"/>
    <w:rsid w:val="00A30FF2"/>
    <w:rsid w:val="00A33BB9"/>
    <w:rsid w:val="00A3791D"/>
    <w:rsid w:val="00A40982"/>
    <w:rsid w:val="00A44C57"/>
    <w:rsid w:val="00A45525"/>
    <w:rsid w:val="00A45F91"/>
    <w:rsid w:val="00A471D3"/>
    <w:rsid w:val="00A52150"/>
    <w:rsid w:val="00A62386"/>
    <w:rsid w:val="00A63106"/>
    <w:rsid w:val="00A70259"/>
    <w:rsid w:val="00A70AE6"/>
    <w:rsid w:val="00A741C1"/>
    <w:rsid w:val="00A768FC"/>
    <w:rsid w:val="00A77A2C"/>
    <w:rsid w:val="00A87A24"/>
    <w:rsid w:val="00A91095"/>
    <w:rsid w:val="00AA2434"/>
    <w:rsid w:val="00AA494E"/>
    <w:rsid w:val="00AA688A"/>
    <w:rsid w:val="00AA692D"/>
    <w:rsid w:val="00AA7DC5"/>
    <w:rsid w:val="00AB2B36"/>
    <w:rsid w:val="00AB2C8E"/>
    <w:rsid w:val="00AB4F7E"/>
    <w:rsid w:val="00AB692A"/>
    <w:rsid w:val="00AB7F36"/>
    <w:rsid w:val="00AD1158"/>
    <w:rsid w:val="00AD2634"/>
    <w:rsid w:val="00AD59EE"/>
    <w:rsid w:val="00AD690D"/>
    <w:rsid w:val="00AE16C0"/>
    <w:rsid w:val="00AE7C44"/>
    <w:rsid w:val="00AF2A36"/>
    <w:rsid w:val="00AF2C5F"/>
    <w:rsid w:val="00AF60E4"/>
    <w:rsid w:val="00B04F1F"/>
    <w:rsid w:val="00B1056F"/>
    <w:rsid w:val="00B10BBD"/>
    <w:rsid w:val="00B22C97"/>
    <w:rsid w:val="00B24FAF"/>
    <w:rsid w:val="00B30293"/>
    <w:rsid w:val="00B325F8"/>
    <w:rsid w:val="00B32E61"/>
    <w:rsid w:val="00B3355B"/>
    <w:rsid w:val="00B337FE"/>
    <w:rsid w:val="00B34289"/>
    <w:rsid w:val="00B34BA4"/>
    <w:rsid w:val="00B356C1"/>
    <w:rsid w:val="00B4347E"/>
    <w:rsid w:val="00B43D87"/>
    <w:rsid w:val="00B46F77"/>
    <w:rsid w:val="00B5019A"/>
    <w:rsid w:val="00B51130"/>
    <w:rsid w:val="00B5446B"/>
    <w:rsid w:val="00B546A6"/>
    <w:rsid w:val="00B54EF2"/>
    <w:rsid w:val="00B60402"/>
    <w:rsid w:val="00B60A2F"/>
    <w:rsid w:val="00B63274"/>
    <w:rsid w:val="00B656EB"/>
    <w:rsid w:val="00B65F13"/>
    <w:rsid w:val="00B66D11"/>
    <w:rsid w:val="00B70BF6"/>
    <w:rsid w:val="00B77C9F"/>
    <w:rsid w:val="00B81FEC"/>
    <w:rsid w:val="00B83CFD"/>
    <w:rsid w:val="00B84249"/>
    <w:rsid w:val="00B854D9"/>
    <w:rsid w:val="00B87989"/>
    <w:rsid w:val="00B903FF"/>
    <w:rsid w:val="00B94CF2"/>
    <w:rsid w:val="00B96F91"/>
    <w:rsid w:val="00B971D3"/>
    <w:rsid w:val="00B97F9A"/>
    <w:rsid w:val="00BA5C90"/>
    <w:rsid w:val="00BB104E"/>
    <w:rsid w:val="00BB173E"/>
    <w:rsid w:val="00BB3A5C"/>
    <w:rsid w:val="00BB6025"/>
    <w:rsid w:val="00BC0B6C"/>
    <w:rsid w:val="00BC32CA"/>
    <w:rsid w:val="00BC3937"/>
    <w:rsid w:val="00BC40CF"/>
    <w:rsid w:val="00BC6A02"/>
    <w:rsid w:val="00BD3938"/>
    <w:rsid w:val="00BE2766"/>
    <w:rsid w:val="00BE359B"/>
    <w:rsid w:val="00BE3B60"/>
    <w:rsid w:val="00BE647F"/>
    <w:rsid w:val="00BF0EBB"/>
    <w:rsid w:val="00BF165E"/>
    <w:rsid w:val="00C02393"/>
    <w:rsid w:val="00C04AEF"/>
    <w:rsid w:val="00C07106"/>
    <w:rsid w:val="00C11320"/>
    <w:rsid w:val="00C16FA0"/>
    <w:rsid w:val="00C17593"/>
    <w:rsid w:val="00C17A55"/>
    <w:rsid w:val="00C214B3"/>
    <w:rsid w:val="00C219D9"/>
    <w:rsid w:val="00C25314"/>
    <w:rsid w:val="00C27A23"/>
    <w:rsid w:val="00C42066"/>
    <w:rsid w:val="00C433A3"/>
    <w:rsid w:val="00C4352D"/>
    <w:rsid w:val="00C43A05"/>
    <w:rsid w:val="00C45526"/>
    <w:rsid w:val="00C45EAF"/>
    <w:rsid w:val="00C5510E"/>
    <w:rsid w:val="00C55EFE"/>
    <w:rsid w:val="00C56DA2"/>
    <w:rsid w:val="00C57998"/>
    <w:rsid w:val="00C60492"/>
    <w:rsid w:val="00C64972"/>
    <w:rsid w:val="00C649C1"/>
    <w:rsid w:val="00C80C40"/>
    <w:rsid w:val="00C8140E"/>
    <w:rsid w:val="00C82616"/>
    <w:rsid w:val="00C82E78"/>
    <w:rsid w:val="00C8387D"/>
    <w:rsid w:val="00C83D3C"/>
    <w:rsid w:val="00C85753"/>
    <w:rsid w:val="00C85A4E"/>
    <w:rsid w:val="00C87A81"/>
    <w:rsid w:val="00C90058"/>
    <w:rsid w:val="00C97052"/>
    <w:rsid w:val="00CA04B7"/>
    <w:rsid w:val="00CA59DF"/>
    <w:rsid w:val="00CA61C2"/>
    <w:rsid w:val="00CB0355"/>
    <w:rsid w:val="00CB21B5"/>
    <w:rsid w:val="00CB27E6"/>
    <w:rsid w:val="00CB465C"/>
    <w:rsid w:val="00CB4BF7"/>
    <w:rsid w:val="00CB4EE9"/>
    <w:rsid w:val="00CB70A7"/>
    <w:rsid w:val="00CC0D74"/>
    <w:rsid w:val="00CC0DFA"/>
    <w:rsid w:val="00CD1E72"/>
    <w:rsid w:val="00CD1EF7"/>
    <w:rsid w:val="00CD783F"/>
    <w:rsid w:val="00CE01F4"/>
    <w:rsid w:val="00CE2B96"/>
    <w:rsid w:val="00CE2C9C"/>
    <w:rsid w:val="00CE588F"/>
    <w:rsid w:val="00CE58B1"/>
    <w:rsid w:val="00CF0592"/>
    <w:rsid w:val="00CF787B"/>
    <w:rsid w:val="00D00514"/>
    <w:rsid w:val="00D0116A"/>
    <w:rsid w:val="00D05B67"/>
    <w:rsid w:val="00D11C2D"/>
    <w:rsid w:val="00D124A0"/>
    <w:rsid w:val="00D12B1F"/>
    <w:rsid w:val="00D12CCB"/>
    <w:rsid w:val="00D1439E"/>
    <w:rsid w:val="00D1578B"/>
    <w:rsid w:val="00D17016"/>
    <w:rsid w:val="00D27AFB"/>
    <w:rsid w:val="00D31644"/>
    <w:rsid w:val="00D3426E"/>
    <w:rsid w:val="00D34D46"/>
    <w:rsid w:val="00D36D21"/>
    <w:rsid w:val="00D3777E"/>
    <w:rsid w:val="00D41603"/>
    <w:rsid w:val="00D416AE"/>
    <w:rsid w:val="00D41E92"/>
    <w:rsid w:val="00D47C4F"/>
    <w:rsid w:val="00D53ABF"/>
    <w:rsid w:val="00D6466D"/>
    <w:rsid w:val="00D65C9A"/>
    <w:rsid w:val="00D72857"/>
    <w:rsid w:val="00D72CF3"/>
    <w:rsid w:val="00D81295"/>
    <w:rsid w:val="00D81BA7"/>
    <w:rsid w:val="00D83370"/>
    <w:rsid w:val="00D9225D"/>
    <w:rsid w:val="00D92DC5"/>
    <w:rsid w:val="00D94B31"/>
    <w:rsid w:val="00DA0932"/>
    <w:rsid w:val="00DA2505"/>
    <w:rsid w:val="00DA2CEB"/>
    <w:rsid w:val="00DA2DFD"/>
    <w:rsid w:val="00DA4C2B"/>
    <w:rsid w:val="00DA5295"/>
    <w:rsid w:val="00DA67EC"/>
    <w:rsid w:val="00DB407E"/>
    <w:rsid w:val="00DB5C84"/>
    <w:rsid w:val="00DB7ECC"/>
    <w:rsid w:val="00DC00D8"/>
    <w:rsid w:val="00DC1440"/>
    <w:rsid w:val="00DC6AA1"/>
    <w:rsid w:val="00DD0A92"/>
    <w:rsid w:val="00DD183C"/>
    <w:rsid w:val="00DD1A45"/>
    <w:rsid w:val="00DD2084"/>
    <w:rsid w:val="00DD4D5A"/>
    <w:rsid w:val="00DE21CB"/>
    <w:rsid w:val="00DF04FD"/>
    <w:rsid w:val="00DF4203"/>
    <w:rsid w:val="00E028A7"/>
    <w:rsid w:val="00E04972"/>
    <w:rsid w:val="00E12155"/>
    <w:rsid w:val="00E140CE"/>
    <w:rsid w:val="00E141C0"/>
    <w:rsid w:val="00E16973"/>
    <w:rsid w:val="00E22BEC"/>
    <w:rsid w:val="00E24718"/>
    <w:rsid w:val="00E24AE9"/>
    <w:rsid w:val="00E24D90"/>
    <w:rsid w:val="00E30367"/>
    <w:rsid w:val="00E30A26"/>
    <w:rsid w:val="00E33655"/>
    <w:rsid w:val="00E34182"/>
    <w:rsid w:val="00E376F4"/>
    <w:rsid w:val="00E41B48"/>
    <w:rsid w:val="00E421D1"/>
    <w:rsid w:val="00E42238"/>
    <w:rsid w:val="00E42360"/>
    <w:rsid w:val="00E424DA"/>
    <w:rsid w:val="00E43BF9"/>
    <w:rsid w:val="00E445AC"/>
    <w:rsid w:val="00E5092E"/>
    <w:rsid w:val="00E52683"/>
    <w:rsid w:val="00E543EA"/>
    <w:rsid w:val="00E54926"/>
    <w:rsid w:val="00E564CC"/>
    <w:rsid w:val="00E61BED"/>
    <w:rsid w:val="00E6553F"/>
    <w:rsid w:val="00E65D7C"/>
    <w:rsid w:val="00E703B9"/>
    <w:rsid w:val="00E72642"/>
    <w:rsid w:val="00E86A05"/>
    <w:rsid w:val="00E90E5E"/>
    <w:rsid w:val="00E91EB9"/>
    <w:rsid w:val="00E935E1"/>
    <w:rsid w:val="00E93660"/>
    <w:rsid w:val="00E943DA"/>
    <w:rsid w:val="00E969E9"/>
    <w:rsid w:val="00E978FB"/>
    <w:rsid w:val="00E979D6"/>
    <w:rsid w:val="00EA017A"/>
    <w:rsid w:val="00EA3AEE"/>
    <w:rsid w:val="00EA53BE"/>
    <w:rsid w:val="00EA77DB"/>
    <w:rsid w:val="00EA7D63"/>
    <w:rsid w:val="00EB0A6C"/>
    <w:rsid w:val="00EC16AA"/>
    <w:rsid w:val="00EC1F76"/>
    <w:rsid w:val="00EC2FD6"/>
    <w:rsid w:val="00EC486D"/>
    <w:rsid w:val="00EC6185"/>
    <w:rsid w:val="00EC6742"/>
    <w:rsid w:val="00ED172A"/>
    <w:rsid w:val="00ED273C"/>
    <w:rsid w:val="00ED38C7"/>
    <w:rsid w:val="00ED4111"/>
    <w:rsid w:val="00ED4395"/>
    <w:rsid w:val="00ED5427"/>
    <w:rsid w:val="00ED547D"/>
    <w:rsid w:val="00EE5AFE"/>
    <w:rsid w:val="00EF7579"/>
    <w:rsid w:val="00F00D13"/>
    <w:rsid w:val="00F0242A"/>
    <w:rsid w:val="00F0726B"/>
    <w:rsid w:val="00F125CC"/>
    <w:rsid w:val="00F12AD0"/>
    <w:rsid w:val="00F132E4"/>
    <w:rsid w:val="00F13EC9"/>
    <w:rsid w:val="00F14080"/>
    <w:rsid w:val="00F16D29"/>
    <w:rsid w:val="00F20B16"/>
    <w:rsid w:val="00F21B62"/>
    <w:rsid w:val="00F22CB6"/>
    <w:rsid w:val="00F233EA"/>
    <w:rsid w:val="00F26251"/>
    <w:rsid w:val="00F26E46"/>
    <w:rsid w:val="00F332B3"/>
    <w:rsid w:val="00F33571"/>
    <w:rsid w:val="00F339E3"/>
    <w:rsid w:val="00F35BBF"/>
    <w:rsid w:val="00F42920"/>
    <w:rsid w:val="00F45C92"/>
    <w:rsid w:val="00F47D1F"/>
    <w:rsid w:val="00F50365"/>
    <w:rsid w:val="00F55547"/>
    <w:rsid w:val="00F55F7B"/>
    <w:rsid w:val="00F56618"/>
    <w:rsid w:val="00F56A54"/>
    <w:rsid w:val="00F60FDD"/>
    <w:rsid w:val="00F63D55"/>
    <w:rsid w:val="00F655CE"/>
    <w:rsid w:val="00F67544"/>
    <w:rsid w:val="00F70A04"/>
    <w:rsid w:val="00F725EB"/>
    <w:rsid w:val="00F81486"/>
    <w:rsid w:val="00F8149E"/>
    <w:rsid w:val="00F8301C"/>
    <w:rsid w:val="00F8512D"/>
    <w:rsid w:val="00F85821"/>
    <w:rsid w:val="00F8634B"/>
    <w:rsid w:val="00F864F8"/>
    <w:rsid w:val="00F9285C"/>
    <w:rsid w:val="00F937F1"/>
    <w:rsid w:val="00F93E12"/>
    <w:rsid w:val="00F948B7"/>
    <w:rsid w:val="00FA448C"/>
    <w:rsid w:val="00FA5576"/>
    <w:rsid w:val="00FA7DEE"/>
    <w:rsid w:val="00FB22D4"/>
    <w:rsid w:val="00FB44E5"/>
    <w:rsid w:val="00FB6142"/>
    <w:rsid w:val="00FB688D"/>
    <w:rsid w:val="00FB6C27"/>
    <w:rsid w:val="00FC45E1"/>
    <w:rsid w:val="00FC46EF"/>
    <w:rsid w:val="00FD4642"/>
    <w:rsid w:val="00FD5A4F"/>
    <w:rsid w:val="00FE378A"/>
    <w:rsid w:val="00FE3A50"/>
    <w:rsid w:val="00FE44DA"/>
    <w:rsid w:val="00FF1EC5"/>
    <w:rsid w:val="00FF5D7B"/>
    <w:rsid w:val="00FF73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8CC34FC5-5879-4A8A-AD99-1EC9C1D2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1C2"/>
    <w:pPr>
      <w:jc w:val="both"/>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CA61C2"/>
    <w:pPr>
      <w:keepNext/>
      <w:jc w:val="center"/>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61C2"/>
    <w:rPr>
      <w:rFonts w:ascii="Arial" w:eastAsia="Times New Roman" w:hAnsi="Arial" w:cs="Arial"/>
      <w:b/>
      <w:bCs/>
      <w:szCs w:val="24"/>
    </w:rPr>
  </w:style>
  <w:style w:type="character" w:styleId="Emphasis">
    <w:name w:val="Emphasis"/>
    <w:qFormat/>
    <w:rsid w:val="00CE2C9C"/>
    <w:rPr>
      <w:i/>
      <w:iCs/>
    </w:rPr>
  </w:style>
  <w:style w:type="paragraph" w:styleId="ListParagraph">
    <w:name w:val="List Paragraph"/>
    <w:basedOn w:val="Normal"/>
    <w:uiPriority w:val="34"/>
    <w:qFormat/>
    <w:rsid w:val="00CE2C9C"/>
    <w:pPr>
      <w:ind w:left="720"/>
      <w:contextualSpacing/>
    </w:pPr>
  </w:style>
  <w:style w:type="paragraph" w:styleId="Header">
    <w:name w:val="header"/>
    <w:basedOn w:val="Normal"/>
    <w:link w:val="HeaderChar"/>
    <w:uiPriority w:val="99"/>
    <w:unhideWhenUsed/>
    <w:rsid w:val="00043A62"/>
    <w:pPr>
      <w:tabs>
        <w:tab w:val="center" w:pos="4680"/>
        <w:tab w:val="right" w:pos="9360"/>
      </w:tabs>
    </w:pPr>
  </w:style>
  <w:style w:type="character" w:customStyle="1" w:styleId="HeaderChar">
    <w:name w:val="Header Char"/>
    <w:link w:val="Header"/>
    <w:uiPriority w:val="99"/>
    <w:rsid w:val="00043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3A62"/>
    <w:pPr>
      <w:tabs>
        <w:tab w:val="center" w:pos="4680"/>
        <w:tab w:val="right" w:pos="9360"/>
      </w:tabs>
    </w:pPr>
  </w:style>
  <w:style w:type="character" w:customStyle="1" w:styleId="FooterChar">
    <w:name w:val="Footer Char"/>
    <w:link w:val="Footer"/>
    <w:uiPriority w:val="99"/>
    <w:rsid w:val="00043A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5821"/>
    <w:rPr>
      <w:rFonts w:ascii="Tahoma" w:hAnsi="Tahoma"/>
      <w:sz w:val="16"/>
      <w:szCs w:val="16"/>
    </w:rPr>
  </w:style>
  <w:style w:type="character" w:customStyle="1" w:styleId="BalloonTextChar">
    <w:name w:val="Balloon Text Char"/>
    <w:link w:val="BalloonText"/>
    <w:uiPriority w:val="99"/>
    <w:semiHidden/>
    <w:rsid w:val="00F85821"/>
    <w:rPr>
      <w:rFonts w:ascii="Tahoma" w:eastAsia="Times New Roman" w:hAnsi="Tahoma" w:cs="Tahoma"/>
      <w:sz w:val="16"/>
      <w:szCs w:val="16"/>
    </w:rPr>
  </w:style>
  <w:style w:type="paragraph" w:styleId="NoSpacing">
    <w:name w:val="No Spacing"/>
    <w:uiPriority w:val="1"/>
    <w:qFormat/>
    <w:rsid w:val="00971CFB"/>
    <w:pPr>
      <w:jc w:val="both"/>
    </w:pPr>
    <w:rPr>
      <w:rFonts w:ascii="Times New Roman" w:eastAsia="Times New Roman" w:hAnsi="Times New Roman"/>
      <w:sz w:val="24"/>
      <w:szCs w:val="24"/>
    </w:rPr>
  </w:style>
  <w:style w:type="paragraph" w:styleId="BlockText">
    <w:name w:val="Block Text"/>
    <w:basedOn w:val="Normal"/>
    <w:rsid w:val="002C0468"/>
    <w:pPr>
      <w:tabs>
        <w:tab w:val="left" w:pos="7740"/>
      </w:tabs>
      <w:ind w:left="360" w:right="-241" w:hanging="360"/>
    </w:pPr>
    <w:rPr>
      <w:rFonts w:ascii="Arial" w:hAnsi="Arial" w:cs="Arial"/>
      <w:color w:val="A6A6A6"/>
      <w:sz w:val="22"/>
      <w:szCs w:val="22"/>
      <w:lang w:bidi="en-US"/>
    </w:rPr>
  </w:style>
  <w:style w:type="paragraph" w:styleId="Subtitle">
    <w:name w:val="Subtitle"/>
    <w:basedOn w:val="Normal"/>
    <w:next w:val="Normal"/>
    <w:link w:val="SubtitleChar"/>
    <w:uiPriority w:val="11"/>
    <w:qFormat/>
    <w:rsid w:val="003C399F"/>
    <w:pPr>
      <w:spacing w:after="60"/>
      <w:jc w:val="center"/>
      <w:outlineLvl w:val="1"/>
    </w:pPr>
    <w:rPr>
      <w:rFonts w:ascii="Cambria" w:hAnsi="Cambria"/>
    </w:rPr>
  </w:style>
  <w:style w:type="character" w:customStyle="1" w:styleId="SubtitleChar">
    <w:name w:val="Subtitle Char"/>
    <w:link w:val="Subtitle"/>
    <w:uiPriority w:val="11"/>
    <w:rsid w:val="003C399F"/>
    <w:rPr>
      <w:rFonts w:ascii="Cambria" w:eastAsia="Times New Roman" w:hAnsi="Cambria" w:cs="Times New Roman"/>
      <w:sz w:val="24"/>
      <w:szCs w:val="24"/>
    </w:rPr>
  </w:style>
  <w:style w:type="paragraph" w:styleId="BodyTextIndent">
    <w:name w:val="Body Text Indent"/>
    <w:basedOn w:val="Normal"/>
    <w:link w:val="BodyTextIndentChar"/>
    <w:rsid w:val="00F937F1"/>
    <w:pPr>
      <w:widowControl w:val="0"/>
      <w:adjustRightInd w:val="0"/>
      <w:spacing w:line="360" w:lineRule="atLeast"/>
      <w:ind w:left="360"/>
      <w:textAlignment w:val="baseline"/>
    </w:pPr>
  </w:style>
  <w:style w:type="character" w:customStyle="1" w:styleId="BodyTextIndentChar">
    <w:name w:val="Body Text Indent Char"/>
    <w:link w:val="BodyTextIndent"/>
    <w:rsid w:val="00F937F1"/>
    <w:rPr>
      <w:rFonts w:ascii="Times New Roman" w:eastAsia="Times New Roman" w:hAnsi="Times New Roman"/>
      <w:sz w:val="24"/>
      <w:szCs w:val="24"/>
    </w:rPr>
  </w:style>
  <w:style w:type="paragraph" w:styleId="BodyText2">
    <w:name w:val="Body Text 2"/>
    <w:basedOn w:val="Normal"/>
    <w:link w:val="BodyText2Char"/>
    <w:rsid w:val="00F937F1"/>
    <w:pPr>
      <w:widowControl w:val="0"/>
      <w:adjustRightInd w:val="0"/>
      <w:spacing w:line="360" w:lineRule="atLeast"/>
      <w:textAlignment w:val="baseline"/>
    </w:pPr>
    <w:rPr>
      <w:szCs w:val="20"/>
    </w:rPr>
  </w:style>
  <w:style w:type="character" w:customStyle="1" w:styleId="BodyText2Char">
    <w:name w:val="Body Text 2 Char"/>
    <w:link w:val="BodyText2"/>
    <w:rsid w:val="00F937F1"/>
    <w:rPr>
      <w:rFonts w:ascii="Times New Roman" w:eastAsia="Times New Roman" w:hAnsi="Times New Roman"/>
      <w:sz w:val="24"/>
    </w:rPr>
  </w:style>
  <w:style w:type="table" w:styleId="TableGrid">
    <w:name w:val="Table Grid"/>
    <w:basedOn w:val="TableNormal"/>
    <w:rsid w:val="00BC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4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CDDD7-0F81-455D-AD39-806980A7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Audit Observations and Recommendations</vt:lpstr>
    </vt:vector>
  </TitlesOfParts>
  <Company/>
  <LinksUpToDate>false</LinksUpToDate>
  <CharactersWithSpaces>13600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Observations and Recommendations</dc:title>
  <dc:creator>COA - Philippine Aerospace Development Corporation</dc:creator>
  <cp:lastModifiedBy>COA</cp:lastModifiedBy>
  <cp:revision>3</cp:revision>
  <cp:lastPrinted>2015-08-10T08:31:00Z</cp:lastPrinted>
  <dcterms:created xsi:type="dcterms:W3CDTF">2015-08-20T06:43:00Z</dcterms:created>
  <dcterms:modified xsi:type="dcterms:W3CDTF">2015-09-01T08:48:00Z</dcterms:modified>
</cp:coreProperties>
</file>