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1255" w:rsidRDefault="00770F49">
      <w:pPr>
        <w:pStyle w:val="Heading1"/>
        <w:pBdr>
          <w:bottom w:val="single" w:sz="12" w:space="1" w:color="00000A"/>
        </w:pBdr>
        <w:jc w:val="left"/>
        <w:rPr>
          <w:sz w:val="22"/>
          <w:szCs w:val="22"/>
        </w:rPr>
      </w:pPr>
      <w:bookmarkStart w:id="0" w:name="_GoBack"/>
      <w:bookmarkEnd w:id="0"/>
      <w:r>
        <w:rPr>
          <w:sz w:val="22"/>
          <w:szCs w:val="22"/>
        </w:rPr>
        <w:t>AUDIT OBSERVATIONS AND RECOMMENDATIONS</w:t>
      </w:r>
    </w:p>
    <w:p w:rsidR="001F1255" w:rsidRDefault="001F1255">
      <w:pPr>
        <w:rPr>
          <w:rFonts w:cs="Arial"/>
          <w:sz w:val="22"/>
          <w:szCs w:val="22"/>
        </w:rPr>
      </w:pPr>
    </w:p>
    <w:p w:rsidR="001F1255" w:rsidRDefault="00770F49">
      <w:pPr>
        <w:ind w:left="360" w:hanging="360"/>
        <w:rPr>
          <w:rFonts w:cs="Arial"/>
          <w:b/>
          <w:bCs/>
          <w:sz w:val="22"/>
          <w:szCs w:val="22"/>
        </w:rPr>
      </w:pPr>
      <w:r>
        <w:rPr>
          <w:rFonts w:cs="Arial"/>
          <w:b/>
          <w:bCs/>
          <w:sz w:val="22"/>
          <w:szCs w:val="22"/>
        </w:rPr>
        <w:t>1. The Corporation has not been able to generate operating revenue from its core business mandate for the past five consecutive years thereby indicating an immediate need to perform a comprehensive evaluation of its structure, policies and business processes to determine its sustainability as a going concern.</w:t>
      </w:r>
    </w:p>
    <w:p w:rsidR="001F1255" w:rsidRDefault="001F1255">
      <w:pPr>
        <w:ind w:left="360"/>
        <w:rPr>
          <w:rFonts w:cs="Arial"/>
          <w:b/>
          <w:bCs/>
          <w:sz w:val="22"/>
          <w:szCs w:val="22"/>
        </w:rPr>
      </w:pPr>
    </w:p>
    <w:p w:rsidR="001F1255" w:rsidRDefault="00770F49">
      <w:pPr>
        <w:tabs>
          <w:tab w:val="left" w:pos="360"/>
        </w:tabs>
        <w:ind w:left="360" w:hanging="360"/>
        <w:rPr>
          <w:rFonts w:cs="Arial"/>
          <w:sz w:val="22"/>
          <w:szCs w:val="22"/>
        </w:rPr>
      </w:pPr>
      <w:r>
        <w:rPr>
          <w:rFonts w:cs="Arial"/>
          <w:b/>
          <w:bCs/>
          <w:sz w:val="22"/>
          <w:szCs w:val="22"/>
        </w:rPr>
        <w:tab/>
      </w:r>
      <w:r>
        <w:rPr>
          <w:rFonts w:cs="Arial"/>
          <w:sz w:val="22"/>
          <w:szCs w:val="22"/>
        </w:rPr>
        <w:t>Presidential Decree No. 286 provides for the three principal business mandates of the Corporation.  At present, PADC has focused solely on its second corporate fiat which is the “</w:t>
      </w:r>
      <w:r>
        <w:rPr>
          <w:rFonts w:cs="Arial"/>
          <w:i/>
          <w:sz w:val="22"/>
          <w:szCs w:val="22"/>
        </w:rPr>
        <w:t>development of local capabilities in the maintenance, repair/overhaul, and modification of aerospace and associated flight and ground equipment and components thereof in order to provide technical services and overhaul support to government agencies owning aerospace equipment, the Philippine Air Force, the national airline, foreign airline companies, foreign air forces and to the aviation industry in general.”</w:t>
      </w:r>
    </w:p>
    <w:p w:rsidR="001F1255" w:rsidRDefault="001F1255">
      <w:pPr>
        <w:pStyle w:val="NoSpacing"/>
        <w:ind w:left="360"/>
        <w:rPr>
          <w:rFonts w:ascii="Arial" w:hAnsi="Arial" w:cs="Arial"/>
          <w:sz w:val="22"/>
          <w:szCs w:val="22"/>
        </w:rPr>
      </w:pPr>
    </w:p>
    <w:p w:rsidR="001F1255" w:rsidRDefault="00770F49">
      <w:pPr>
        <w:pStyle w:val="NoSpacing"/>
        <w:ind w:left="360"/>
        <w:rPr>
          <w:rFonts w:ascii="Arial" w:hAnsi="Arial" w:cs="Arial"/>
          <w:color w:val="252525"/>
          <w:sz w:val="22"/>
          <w:szCs w:val="22"/>
        </w:rPr>
      </w:pPr>
      <w:r>
        <w:rPr>
          <w:rFonts w:ascii="Arial" w:hAnsi="Arial" w:cs="Arial"/>
          <w:sz w:val="22"/>
          <w:szCs w:val="22"/>
        </w:rPr>
        <w:t>Lifted from the Corporation’s account ledgers and presented i</w:t>
      </w:r>
      <w:r>
        <w:rPr>
          <w:rFonts w:ascii="Arial" w:hAnsi="Arial" w:cs="Arial"/>
          <w:color w:val="252525"/>
          <w:sz w:val="22"/>
          <w:szCs w:val="22"/>
        </w:rPr>
        <w:t>n tabular form are figures pertaining to gross operating revenues and direct operating costs for the past five years (2012-2016) resulting from the exercise of its business mandate as quoted above, to wit:</w:t>
      </w:r>
    </w:p>
    <w:p w:rsidR="001F1255" w:rsidRDefault="001F1255">
      <w:pPr>
        <w:pStyle w:val="NoSpacing"/>
        <w:ind w:left="360"/>
        <w:rPr>
          <w:rFonts w:ascii="Arial" w:hAnsi="Arial" w:cs="Arial"/>
          <w:color w:val="252525"/>
          <w:sz w:val="22"/>
          <w:szCs w:val="22"/>
        </w:rPr>
      </w:pPr>
    </w:p>
    <w:tbl>
      <w:tblPr>
        <w:tblStyle w:val="TableGrid"/>
        <w:tblW w:w="8820" w:type="dxa"/>
        <w:tblInd w:w="469" w:type="dxa"/>
        <w:tblCellMar>
          <w:left w:w="103" w:type="dxa"/>
        </w:tblCellMar>
        <w:tblLook w:val="04A0" w:firstRow="1" w:lastRow="0" w:firstColumn="1" w:lastColumn="0" w:noHBand="0" w:noVBand="1"/>
      </w:tblPr>
      <w:tblGrid>
        <w:gridCol w:w="2430"/>
        <w:gridCol w:w="1261"/>
        <w:gridCol w:w="1260"/>
        <w:gridCol w:w="1350"/>
        <w:gridCol w:w="1260"/>
        <w:gridCol w:w="1259"/>
      </w:tblGrid>
      <w:tr w:rsidR="001F1255">
        <w:tc>
          <w:tcPr>
            <w:tcW w:w="2429" w:type="dxa"/>
            <w:shd w:val="clear" w:color="auto" w:fill="auto"/>
            <w:tcMar>
              <w:left w:w="103" w:type="dxa"/>
            </w:tcMar>
          </w:tcPr>
          <w:p w:rsidR="001F1255" w:rsidRDefault="00770F49">
            <w:pPr>
              <w:pStyle w:val="NoSpacing"/>
              <w:jc w:val="center"/>
              <w:rPr>
                <w:rFonts w:ascii="Arial" w:hAnsi="Arial" w:cs="Arial"/>
                <w:color w:val="252525"/>
                <w:sz w:val="19"/>
                <w:szCs w:val="19"/>
              </w:rPr>
            </w:pPr>
            <w:r>
              <w:rPr>
                <w:rFonts w:ascii="Arial" w:hAnsi="Arial" w:cs="Arial"/>
                <w:color w:val="252525"/>
                <w:sz w:val="19"/>
                <w:szCs w:val="19"/>
              </w:rPr>
              <w:t>Particulars</w:t>
            </w:r>
          </w:p>
        </w:tc>
        <w:tc>
          <w:tcPr>
            <w:tcW w:w="1261" w:type="dxa"/>
            <w:shd w:val="clear" w:color="auto" w:fill="auto"/>
            <w:tcMar>
              <w:left w:w="103" w:type="dxa"/>
            </w:tcMa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2016</w:t>
            </w:r>
          </w:p>
        </w:tc>
        <w:tc>
          <w:tcPr>
            <w:tcW w:w="1260" w:type="dxa"/>
            <w:shd w:val="clear" w:color="auto" w:fill="auto"/>
            <w:tcMar>
              <w:left w:w="103" w:type="dxa"/>
            </w:tcMa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2015</w:t>
            </w:r>
          </w:p>
        </w:tc>
        <w:tc>
          <w:tcPr>
            <w:tcW w:w="1350" w:type="dxa"/>
            <w:shd w:val="clear" w:color="auto" w:fill="auto"/>
            <w:tcMar>
              <w:left w:w="103" w:type="dxa"/>
            </w:tcMa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2014</w:t>
            </w:r>
          </w:p>
        </w:tc>
        <w:tc>
          <w:tcPr>
            <w:tcW w:w="1260" w:type="dxa"/>
            <w:shd w:val="clear" w:color="auto" w:fill="auto"/>
            <w:tcMar>
              <w:left w:w="103" w:type="dxa"/>
            </w:tcMa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2013</w:t>
            </w:r>
          </w:p>
        </w:tc>
        <w:tc>
          <w:tcPr>
            <w:tcW w:w="1259" w:type="dxa"/>
            <w:shd w:val="clear" w:color="auto" w:fill="auto"/>
            <w:tcMar>
              <w:left w:w="103" w:type="dxa"/>
            </w:tcMa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2012</w:t>
            </w:r>
          </w:p>
        </w:tc>
      </w:tr>
      <w:tr w:rsidR="001F1255">
        <w:trPr>
          <w:trHeight w:val="260"/>
        </w:trPr>
        <w:tc>
          <w:tcPr>
            <w:tcW w:w="2429" w:type="dxa"/>
            <w:tcBorders>
              <w:bottom w:val="nil"/>
            </w:tcBorders>
            <w:shd w:val="clear" w:color="auto" w:fill="auto"/>
            <w:tcMar>
              <w:left w:w="103" w:type="dxa"/>
            </w:tcMar>
          </w:tcPr>
          <w:p w:rsidR="001F1255" w:rsidRDefault="00770F49">
            <w:pPr>
              <w:pStyle w:val="NoSpacing"/>
              <w:ind w:left="162" w:hanging="162"/>
              <w:jc w:val="left"/>
              <w:rPr>
                <w:rFonts w:ascii="Arial" w:hAnsi="Arial" w:cs="Arial"/>
                <w:color w:val="252525"/>
                <w:sz w:val="19"/>
                <w:szCs w:val="19"/>
              </w:rPr>
            </w:pPr>
            <w:r>
              <w:rPr>
                <w:rFonts w:ascii="Arial" w:hAnsi="Arial" w:cs="Arial"/>
                <w:color w:val="252525"/>
                <w:sz w:val="19"/>
                <w:szCs w:val="19"/>
              </w:rPr>
              <w:t>Sales Income(Labor &amp;    Overhead</w:t>
            </w:r>
          </w:p>
        </w:tc>
        <w:tc>
          <w:tcPr>
            <w:tcW w:w="1261" w:type="dxa"/>
            <w:tcBorders>
              <w:bottom w:val="nil"/>
            </w:tcBorders>
            <w:shd w:val="clear" w:color="auto" w:fill="auto"/>
            <w:tcMar>
              <w:left w:w="103" w:type="dxa"/>
            </w:tcMar>
            <w:vAlign w:val="center"/>
          </w:tcPr>
          <w:p w:rsidR="001F1255" w:rsidRDefault="001F1255">
            <w:pPr>
              <w:pStyle w:val="NoSpacing"/>
              <w:jc w:val="center"/>
              <w:rPr>
                <w:rFonts w:ascii="Arial" w:hAnsi="Arial" w:cs="Arial"/>
                <w:color w:val="252525"/>
                <w:sz w:val="19"/>
                <w:szCs w:val="19"/>
              </w:rPr>
            </w:pPr>
          </w:p>
        </w:tc>
        <w:tc>
          <w:tcPr>
            <w:tcW w:w="1260" w:type="dxa"/>
            <w:tcBorders>
              <w:bottom w:val="nil"/>
            </w:tcBorders>
            <w:shd w:val="clear" w:color="auto" w:fill="auto"/>
            <w:tcMar>
              <w:left w:w="103" w:type="dxa"/>
            </w:tcMar>
            <w:vAlign w:val="center"/>
          </w:tcPr>
          <w:p w:rsidR="001F1255" w:rsidRDefault="001F1255">
            <w:pPr>
              <w:pStyle w:val="NoSpacing"/>
              <w:jc w:val="center"/>
              <w:rPr>
                <w:rFonts w:ascii="Arial" w:hAnsi="Arial" w:cs="Arial"/>
                <w:color w:val="252525"/>
                <w:sz w:val="19"/>
                <w:szCs w:val="19"/>
              </w:rPr>
            </w:pPr>
          </w:p>
        </w:tc>
        <w:tc>
          <w:tcPr>
            <w:tcW w:w="1350" w:type="dxa"/>
            <w:tcBorders>
              <w:bottom w:val="nil"/>
            </w:tcBorders>
            <w:shd w:val="clear" w:color="auto" w:fill="auto"/>
            <w:tcMar>
              <w:left w:w="103" w:type="dxa"/>
            </w:tcMar>
            <w:vAlign w:val="center"/>
          </w:tcPr>
          <w:p w:rsidR="001F1255" w:rsidRDefault="001F1255">
            <w:pPr>
              <w:pStyle w:val="NoSpacing"/>
              <w:jc w:val="center"/>
              <w:rPr>
                <w:rFonts w:ascii="Arial" w:hAnsi="Arial" w:cs="Arial"/>
                <w:color w:val="252525"/>
                <w:sz w:val="19"/>
                <w:szCs w:val="19"/>
              </w:rPr>
            </w:pPr>
          </w:p>
        </w:tc>
        <w:tc>
          <w:tcPr>
            <w:tcW w:w="1260" w:type="dxa"/>
            <w:tcBorders>
              <w:bottom w:val="nil"/>
            </w:tcBorders>
            <w:shd w:val="clear" w:color="auto" w:fill="auto"/>
            <w:tcMar>
              <w:left w:w="103" w:type="dxa"/>
            </w:tcMar>
          </w:tcPr>
          <w:p w:rsidR="001F1255" w:rsidRDefault="001F1255">
            <w:pPr>
              <w:pStyle w:val="NoSpacing"/>
              <w:rPr>
                <w:rFonts w:ascii="Arial" w:hAnsi="Arial" w:cs="Arial"/>
                <w:color w:val="252525"/>
                <w:sz w:val="19"/>
                <w:szCs w:val="19"/>
              </w:rPr>
            </w:pPr>
          </w:p>
        </w:tc>
        <w:tc>
          <w:tcPr>
            <w:tcW w:w="1259" w:type="dxa"/>
            <w:tcBorders>
              <w:bottom w:val="nil"/>
            </w:tcBorders>
            <w:shd w:val="clear" w:color="auto" w:fill="auto"/>
            <w:tcMar>
              <w:left w:w="103" w:type="dxa"/>
            </w:tcMar>
            <w:vAlign w:val="center"/>
          </w:tcPr>
          <w:p w:rsidR="001F1255" w:rsidRDefault="001F1255">
            <w:pPr>
              <w:pStyle w:val="NoSpacing"/>
              <w:jc w:val="right"/>
              <w:rPr>
                <w:rFonts w:ascii="Arial" w:hAnsi="Arial" w:cs="Arial"/>
                <w:color w:val="252525"/>
                <w:sz w:val="19"/>
                <w:szCs w:val="19"/>
              </w:rPr>
            </w:pPr>
          </w:p>
        </w:tc>
      </w:tr>
      <w:tr w:rsidR="001F1255">
        <w:trPr>
          <w:trHeight w:val="269"/>
        </w:trPr>
        <w:tc>
          <w:tcPr>
            <w:tcW w:w="2429" w:type="dxa"/>
            <w:tcBorders>
              <w:top w:val="nil"/>
              <w:bottom w:val="nil"/>
            </w:tcBorders>
            <w:shd w:val="clear" w:color="auto" w:fill="auto"/>
            <w:tcMar>
              <w:left w:w="103" w:type="dxa"/>
            </w:tcMar>
            <w:vAlign w:val="center"/>
          </w:tcPr>
          <w:p w:rsidR="001F1255" w:rsidRDefault="00770F49">
            <w:pPr>
              <w:pStyle w:val="NoSpacing"/>
              <w:ind w:left="162" w:hanging="162"/>
              <w:jc w:val="left"/>
              <w:rPr>
                <w:rFonts w:ascii="Arial" w:hAnsi="Arial" w:cs="Arial"/>
                <w:color w:val="252525"/>
                <w:sz w:val="19"/>
                <w:szCs w:val="19"/>
              </w:rPr>
            </w:pPr>
            <w:r>
              <w:rPr>
                <w:rFonts w:ascii="Arial" w:hAnsi="Arial" w:cs="Arial"/>
                <w:color w:val="252525"/>
                <w:sz w:val="19"/>
                <w:szCs w:val="19"/>
              </w:rPr>
              <w:t>Sales Revenue L&amp;O-Military</w:t>
            </w:r>
          </w:p>
        </w:tc>
        <w:tc>
          <w:tcPr>
            <w:tcW w:w="1261"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0</w:t>
            </w:r>
          </w:p>
        </w:tc>
        <w:tc>
          <w:tcPr>
            <w:tcW w:w="126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 xml:space="preserve">       3,000</w:t>
            </w:r>
          </w:p>
        </w:tc>
        <w:tc>
          <w:tcPr>
            <w:tcW w:w="135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 xml:space="preserve">   173,600</w:t>
            </w:r>
          </w:p>
        </w:tc>
        <w:tc>
          <w:tcPr>
            <w:tcW w:w="126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1,051,981</w:t>
            </w:r>
          </w:p>
        </w:tc>
        <w:tc>
          <w:tcPr>
            <w:tcW w:w="1259"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2,031,846</w:t>
            </w:r>
          </w:p>
        </w:tc>
      </w:tr>
      <w:tr w:rsidR="001F1255">
        <w:trPr>
          <w:trHeight w:val="323"/>
        </w:trPr>
        <w:tc>
          <w:tcPr>
            <w:tcW w:w="2429" w:type="dxa"/>
            <w:tcBorders>
              <w:top w:val="nil"/>
              <w:bottom w:val="nil"/>
            </w:tcBorders>
            <w:shd w:val="clear" w:color="auto" w:fill="auto"/>
            <w:tcMar>
              <w:left w:w="103" w:type="dxa"/>
            </w:tcMar>
            <w:vAlign w:val="center"/>
          </w:tcPr>
          <w:p w:rsidR="001F1255" w:rsidRDefault="00770F49">
            <w:pPr>
              <w:pStyle w:val="NoSpacing"/>
              <w:ind w:left="162" w:hanging="162"/>
              <w:jc w:val="left"/>
              <w:rPr>
                <w:rFonts w:ascii="Arial" w:hAnsi="Arial" w:cs="Arial"/>
                <w:color w:val="252525"/>
                <w:sz w:val="19"/>
                <w:szCs w:val="19"/>
              </w:rPr>
            </w:pPr>
            <w:r>
              <w:rPr>
                <w:rFonts w:ascii="Arial" w:hAnsi="Arial" w:cs="Arial"/>
                <w:color w:val="252525"/>
                <w:sz w:val="19"/>
                <w:szCs w:val="19"/>
              </w:rPr>
              <w:t>Sales Revenue L&amp;O-Non-Military</w:t>
            </w:r>
          </w:p>
        </w:tc>
        <w:tc>
          <w:tcPr>
            <w:tcW w:w="1261"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1,127,186</w:t>
            </w:r>
          </w:p>
        </w:tc>
        <w:tc>
          <w:tcPr>
            <w:tcW w:w="126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 xml:space="preserve">   909,567</w:t>
            </w:r>
          </w:p>
        </w:tc>
        <w:tc>
          <w:tcPr>
            <w:tcW w:w="135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1,334,680</w:t>
            </w:r>
          </w:p>
        </w:tc>
        <w:tc>
          <w:tcPr>
            <w:tcW w:w="126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1,852,291</w:t>
            </w:r>
          </w:p>
        </w:tc>
        <w:tc>
          <w:tcPr>
            <w:tcW w:w="1259"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4,055,347</w:t>
            </w:r>
          </w:p>
        </w:tc>
      </w:tr>
      <w:tr w:rsidR="001F1255">
        <w:tc>
          <w:tcPr>
            <w:tcW w:w="2429" w:type="dxa"/>
            <w:tcBorders>
              <w:top w:val="nil"/>
              <w:bottom w:val="nil"/>
            </w:tcBorders>
            <w:shd w:val="clear" w:color="auto" w:fill="auto"/>
            <w:tcMar>
              <w:left w:w="103" w:type="dxa"/>
            </w:tcMar>
          </w:tcPr>
          <w:p w:rsidR="001F1255" w:rsidRDefault="00770F49">
            <w:pPr>
              <w:pStyle w:val="NoSpacing"/>
              <w:ind w:left="162" w:hanging="162"/>
              <w:jc w:val="left"/>
              <w:rPr>
                <w:rFonts w:ascii="Arial" w:hAnsi="Arial" w:cs="Arial"/>
                <w:color w:val="252525"/>
                <w:sz w:val="19"/>
                <w:szCs w:val="19"/>
              </w:rPr>
            </w:pPr>
            <w:r>
              <w:rPr>
                <w:rFonts w:ascii="Arial" w:hAnsi="Arial" w:cs="Arial"/>
                <w:color w:val="252525"/>
                <w:sz w:val="19"/>
                <w:szCs w:val="19"/>
              </w:rPr>
              <w:t>L&amp;O (VAT Exempt)</w:t>
            </w:r>
          </w:p>
        </w:tc>
        <w:tc>
          <w:tcPr>
            <w:tcW w:w="1261"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 xml:space="preserve">   629,083</w:t>
            </w:r>
          </w:p>
        </w:tc>
        <w:tc>
          <w:tcPr>
            <w:tcW w:w="126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 xml:space="preserve">     21,600</w:t>
            </w:r>
          </w:p>
        </w:tc>
        <w:tc>
          <w:tcPr>
            <w:tcW w:w="135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0</w:t>
            </w:r>
          </w:p>
        </w:tc>
        <w:tc>
          <w:tcPr>
            <w:tcW w:w="126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0</w:t>
            </w:r>
          </w:p>
        </w:tc>
        <w:tc>
          <w:tcPr>
            <w:tcW w:w="1259"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0</w:t>
            </w:r>
          </w:p>
        </w:tc>
      </w:tr>
      <w:tr w:rsidR="001F1255">
        <w:trPr>
          <w:trHeight w:val="305"/>
        </w:trPr>
        <w:tc>
          <w:tcPr>
            <w:tcW w:w="2429" w:type="dxa"/>
            <w:tcBorders>
              <w:top w:val="nil"/>
            </w:tcBorders>
            <w:shd w:val="clear" w:color="auto" w:fill="auto"/>
            <w:tcMar>
              <w:left w:w="103" w:type="dxa"/>
            </w:tcMar>
            <w:vAlign w:val="center"/>
          </w:tcPr>
          <w:p w:rsidR="001F1255" w:rsidRDefault="00770F49">
            <w:pPr>
              <w:pStyle w:val="NoSpacing"/>
              <w:jc w:val="left"/>
              <w:rPr>
                <w:rFonts w:ascii="Arial" w:hAnsi="Arial" w:cs="Arial"/>
                <w:color w:val="252525"/>
                <w:sz w:val="19"/>
                <w:szCs w:val="19"/>
              </w:rPr>
            </w:pPr>
            <w:r>
              <w:rPr>
                <w:rFonts w:ascii="Arial" w:hAnsi="Arial" w:cs="Arial"/>
                <w:color w:val="252525"/>
                <w:sz w:val="19"/>
                <w:szCs w:val="19"/>
              </w:rPr>
              <w:t>L&amp;O (VAT  Zero)</w:t>
            </w:r>
          </w:p>
        </w:tc>
        <w:tc>
          <w:tcPr>
            <w:tcW w:w="1261" w:type="dxa"/>
            <w:tcBorders>
              <w:top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0</w:t>
            </w:r>
          </w:p>
        </w:tc>
        <w:tc>
          <w:tcPr>
            <w:tcW w:w="1260" w:type="dxa"/>
            <w:tcBorders>
              <w:top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 xml:space="preserve">   299,122</w:t>
            </w:r>
          </w:p>
        </w:tc>
        <w:tc>
          <w:tcPr>
            <w:tcW w:w="1350" w:type="dxa"/>
            <w:tcBorders>
              <w:top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 xml:space="preserve">   770,403</w:t>
            </w:r>
          </w:p>
        </w:tc>
        <w:tc>
          <w:tcPr>
            <w:tcW w:w="1260" w:type="dxa"/>
            <w:tcBorders>
              <w:top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851,938</w:t>
            </w:r>
          </w:p>
        </w:tc>
        <w:tc>
          <w:tcPr>
            <w:tcW w:w="1259" w:type="dxa"/>
            <w:tcBorders>
              <w:top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0</w:t>
            </w:r>
          </w:p>
        </w:tc>
      </w:tr>
      <w:tr w:rsidR="001F1255">
        <w:trPr>
          <w:trHeight w:val="341"/>
        </w:trPr>
        <w:tc>
          <w:tcPr>
            <w:tcW w:w="2429" w:type="dxa"/>
            <w:shd w:val="clear" w:color="auto" w:fill="auto"/>
            <w:tcMar>
              <w:left w:w="103" w:type="dxa"/>
            </w:tcMar>
            <w:vAlign w:val="center"/>
          </w:tcPr>
          <w:p w:rsidR="001F1255" w:rsidRDefault="00770F49">
            <w:pPr>
              <w:pStyle w:val="NoSpacing"/>
              <w:jc w:val="left"/>
              <w:rPr>
                <w:rFonts w:ascii="Arial" w:hAnsi="Arial" w:cs="Arial"/>
                <w:color w:val="252525"/>
                <w:sz w:val="19"/>
                <w:szCs w:val="19"/>
              </w:rPr>
            </w:pPr>
            <w:r>
              <w:rPr>
                <w:rFonts w:ascii="Arial" w:hAnsi="Arial" w:cs="Arial"/>
                <w:color w:val="252525"/>
                <w:sz w:val="19"/>
                <w:szCs w:val="19"/>
              </w:rPr>
              <w:t>Total L&amp;O Sales</w:t>
            </w:r>
          </w:p>
        </w:tc>
        <w:tc>
          <w:tcPr>
            <w:tcW w:w="1261"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1,756,269</w:t>
            </w:r>
          </w:p>
        </w:tc>
        <w:tc>
          <w:tcPr>
            <w:tcW w:w="1260"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1,233,289</w:t>
            </w:r>
          </w:p>
        </w:tc>
        <w:tc>
          <w:tcPr>
            <w:tcW w:w="1350"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2,278,683</w:t>
            </w:r>
          </w:p>
        </w:tc>
        <w:tc>
          <w:tcPr>
            <w:tcW w:w="1260"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3,756,210</w:t>
            </w:r>
          </w:p>
        </w:tc>
        <w:tc>
          <w:tcPr>
            <w:tcW w:w="1259"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6,087,193</w:t>
            </w:r>
          </w:p>
        </w:tc>
      </w:tr>
      <w:tr w:rsidR="001F1255">
        <w:tc>
          <w:tcPr>
            <w:tcW w:w="2429" w:type="dxa"/>
            <w:tcBorders>
              <w:bottom w:val="nil"/>
            </w:tcBorders>
            <w:shd w:val="clear" w:color="auto" w:fill="auto"/>
            <w:tcMar>
              <w:left w:w="103" w:type="dxa"/>
            </w:tcMar>
          </w:tcPr>
          <w:p w:rsidR="001F1255" w:rsidRDefault="001F1255">
            <w:pPr>
              <w:pStyle w:val="NoSpacing"/>
              <w:jc w:val="left"/>
              <w:rPr>
                <w:rFonts w:ascii="Arial" w:hAnsi="Arial" w:cs="Arial"/>
                <w:color w:val="252525"/>
                <w:sz w:val="19"/>
                <w:szCs w:val="19"/>
              </w:rPr>
            </w:pPr>
          </w:p>
        </w:tc>
        <w:tc>
          <w:tcPr>
            <w:tcW w:w="1261" w:type="dxa"/>
            <w:tcBorders>
              <w:bottom w:val="nil"/>
            </w:tcBorders>
            <w:shd w:val="clear" w:color="auto" w:fill="auto"/>
            <w:tcMar>
              <w:left w:w="103" w:type="dxa"/>
            </w:tcMar>
            <w:vAlign w:val="center"/>
          </w:tcPr>
          <w:p w:rsidR="001F1255" w:rsidRDefault="001F1255">
            <w:pPr>
              <w:pStyle w:val="NoSpacing"/>
              <w:jc w:val="right"/>
              <w:rPr>
                <w:rFonts w:ascii="Arial" w:hAnsi="Arial" w:cs="Arial"/>
                <w:color w:val="252525"/>
                <w:sz w:val="19"/>
                <w:szCs w:val="19"/>
              </w:rPr>
            </w:pPr>
          </w:p>
        </w:tc>
        <w:tc>
          <w:tcPr>
            <w:tcW w:w="1260" w:type="dxa"/>
            <w:tcBorders>
              <w:bottom w:val="nil"/>
            </w:tcBorders>
            <w:shd w:val="clear" w:color="auto" w:fill="auto"/>
            <w:tcMar>
              <w:left w:w="103" w:type="dxa"/>
            </w:tcMar>
            <w:vAlign w:val="center"/>
          </w:tcPr>
          <w:p w:rsidR="001F1255" w:rsidRDefault="001F1255">
            <w:pPr>
              <w:pStyle w:val="NoSpacing"/>
              <w:jc w:val="right"/>
              <w:rPr>
                <w:rFonts w:ascii="Arial" w:hAnsi="Arial" w:cs="Arial"/>
                <w:color w:val="252525"/>
                <w:sz w:val="19"/>
                <w:szCs w:val="19"/>
              </w:rPr>
            </w:pPr>
          </w:p>
        </w:tc>
        <w:tc>
          <w:tcPr>
            <w:tcW w:w="1350" w:type="dxa"/>
            <w:tcBorders>
              <w:bottom w:val="nil"/>
            </w:tcBorders>
            <w:shd w:val="clear" w:color="auto" w:fill="auto"/>
            <w:tcMar>
              <w:left w:w="103" w:type="dxa"/>
            </w:tcMar>
            <w:vAlign w:val="center"/>
          </w:tcPr>
          <w:p w:rsidR="001F1255" w:rsidRDefault="001F1255">
            <w:pPr>
              <w:pStyle w:val="NoSpacing"/>
              <w:jc w:val="right"/>
              <w:rPr>
                <w:rFonts w:ascii="Arial" w:hAnsi="Arial" w:cs="Arial"/>
                <w:color w:val="252525"/>
                <w:sz w:val="19"/>
                <w:szCs w:val="19"/>
              </w:rPr>
            </w:pPr>
          </w:p>
        </w:tc>
        <w:tc>
          <w:tcPr>
            <w:tcW w:w="1260" w:type="dxa"/>
            <w:tcBorders>
              <w:bottom w:val="nil"/>
            </w:tcBorders>
            <w:shd w:val="clear" w:color="auto" w:fill="auto"/>
            <w:tcMar>
              <w:left w:w="103" w:type="dxa"/>
            </w:tcMar>
            <w:vAlign w:val="center"/>
          </w:tcPr>
          <w:p w:rsidR="001F1255" w:rsidRDefault="001F1255">
            <w:pPr>
              <w:pStyle w:val="NoSpacing"/>
              <w:jc w:val="right"/>
              <w:rPr>
                <w:rFonts w:ascii="Arial" w:hAnsi="Arial" w:cs="Arial"/>
                <w:color w:val="252525"/>
                <w:sz w:val="19"/>
                <w:szCs w:val="19"/>
              </w:rPr>
            </w:pPr>
          </w:p>
        </w:tc>
        <w:tc>
          <w:tcPr>
            <w:tcW w:w="1259" w:type="dxa"/>
            <w:tcBorders>
              <w:bottom w:val="nil"/>
            </w:tcBorders>
            <w:shd w:val="clear" w:color="auto" w:fill="auto"/>
            <w:tcMar>
              <w:left w:w="103" w:type="dxa"/>
            </w:tcMar>
            <w:vAlign w:val="center"/>
          </w:tcPr>
          <w:p w:rsidR="001F1255" w:rsidRDefault="001F1255">
            <w:pPr>
              <w:pStyle w:val="NoSpacing"/>
              <w:jc w:val="right"/>
              <w:rPr>
                <w:rFonts w:ascii="Arial" w:hAnsi="Arial" w:cs="Arial"/>
                <w:color w:val="252525"/>
                <w:sz w:val="19"/>
                <w:szCs w:val="19"/>
              </w:rPr>
            </w:pPr>
          </w:p>
        </w:tc>
      </w:tr>
      <w:tr w:rsidR="001F1255">
        <w:trPr>
          <w:trHeight w:val="296"/>
        </w:trPr>
        <w:tc>
          <w:tcPr>
            <w:tcW w:w="2429" w:type="dxa"/>
            <w:tcBorders>
              <w:top w:val="nil"/>
              <w:bottom w:val="nil"/>
            </w:tcBorders>
            <w:shd w:val="clear" w:color="auto" w:fill="auto"/>
            <w:tcMar>
              <w:left w:w="103" w:type="dxa"/>
            </w:tcMar>
          </w:tcPr>
          <w:p w:rsidR="001F1255" w:rsidRDefault="00770F49">
            <w:pPr>
              <w:pStyle w:val="NoSpacing"/>
              <w:ind w:left="162" w:hanging="162"/>
              <w:jc w:val="left"/>
              <w:rPr>
                <w:rFonts w:ascii="Arial" w:hAnsi="Arial" w:cs="Arial"/>
                <w:color w:val="252525"/>
                <w:sz w:val="19"/>
                <w:szCs w:val="19"/>
              </w:rPr>
            </w:pPr>
            <w:r>
              <w:rPr>
                <w:rFonts w:ascii="Arial" w:hAnsi="Arial" w:cs="Arial"/>
                <w:color w:val="252525"/>
                <w:sz w:val="19"/>
                <w:szCs w:val="19"/>
              </w:rPr>
              <w:t>Cost of Sales (Labor &amp; Overhead)</w:t>
            </w:r>
          </w:p>
        </w:tc>
        <w:tc>
          <w:tcPr>
            <w:tcW w:w="1261" w:type="dxa"/>
            <w:tcBorders>
              <w:top w:val="nil"/>
              <w:bottom w:val="nil"/>
            </w:tcBorders>
            <w:shd w:val="clear" w:color="auto" w:fill="auto"/>
            <w:tcMar>
              <w:left w:w="103" w:type="dxa"/>
            </w:tcMar>
            <w:vAlign w:val="center"/>
          </w:tcPr>
          <w:p w:rsidR="001F1255" w:rsidRDefault="001F1255">
            <w:pPr>
              <w:pStyle w:val="NoSpacing"/>
              <w:jc w:val="right"/>
              <w:rPr>
                <w:rFonts w:ascii="Arial" w:hAnsi="Arial" w:cs="Arial"/>
                <w:color w:val="252525"/>
                <w:sz w:val="19"/>
                <w:szCs w:val="19"/>
              </w:rPr>
            </w:pPr>
          </w:p>
        </w:tc>
        <w:tc>
          <w:tcPr>
            <w:tcW w:w="1260" w:type="dxa"/>
            <w:tcBorders>
              <w:top w:val="nil"/>
              <w:bottom w:val="nil"/>
            </w:tcBorders>
            <w:shd w:val="clear" w:color="auto" w:fill="auto"/>
            <w:tcMar>
              <w:left w:w="103" w:type="dxa"/>
            </w:tcMar>
            <w:vAlign w:val="center"/>
          </w:tcPr>
          <w:p w:rsidR="001F1255" w:rsidRDefault="001F1255">
            <w:pPr>
              <w:pStyle w:val="NoSpacing"/>
              <w:jc w:val="right"/>
              <w:rPr>
                <w:rFonts w:ascii="Arial" w:hAnsi="Arial" w:cs="Arial"/>
                <w:color w:val="252525"/>
                <w:sz w:val="19"/>
                <w:szCs w:val="19"/>
              </w:rPr>
            </w:pPr>
          </w:p>
        </w:tc>
        <w:tc>
          <w:tcPr>
            <w:tcW w:w="1350" w:type="dxa"/>
            <w:tcBorders>
              <w:top w:val="nil"/>
              <w:bottom w:val="nil"/>
            </w:tcBorders>
            <w:shd w:val="clear" w:color="auto" w:fill="auto"/>
            <w:tcMar>
              <w:left w:w="103" w:type="dxa"/>
            </w:tcMar>
            <w:vAlign w:val="center"/>
          </w:tcPr>
          <w:p w:rsidR="001F1255" w:rsidRDefault="001F1255">
            <w:pPr>
              <w:pStyle w:val="NoSpacing"/>
              <w:jc w:val="right"/>
              <w:rPr>
                <w:rFonts w:ascii="Arial" w:hAnsi="Arial" w:cs="Arial"/>
                <w:color w:val="252525"/>
                <w:sz w:val="19"/>
                <w:szCs w:val="19"/>
              </w:rPr>
            </w:pPr>
          </w:p>
        </w:tc>
        <w:tc>
          <w:tcPr>
            <w:tcW w:w="1260" w:type="dxa"/>
            <w:tcBorders>
              <w:top w:val="nil"/>
              <w:bottom w:val="nil"/>
            </w:tcBorders>
            <w:shd w:val="clear" w:color="auto" w:fill="auto"/>
            <w:tcMar>
              <w:left w:w="103" w:type="dxa"/>
            </w:tcMar>
            <w:vAlign w:val="center"/>
          </w:tcPr>
          <w:p w:rsidR="001F1255" w:rsidRDefault="001F1255">
            <w:pPr>
              <w:pStyle w:val="NoSpacing"/>
              <w:jc w:val="right"/>
              <w:rPr>
                <w:rFonts w:ascii="Arial" w:hAnsi="Arial" w:cs="Arial"/>
                <w:color w:val="252525"/>
                <w:sz w:val="19"/>
                <w:szCs w:val="19"/>
              </w:rPr>
            </w:pPr>
          </w:p>
        </w:tc>
        <w:tc>
          <w:tcPr>
            <w:tcW w:w="1259" w:type="dxa"/>
            <w:tcBorders>
              <w:top w:val="nil"/>
              <w:bottom w:val="nil"/>
            </w:tcBorders>
            <w:shd w:val="clear" w:color="auto" w:fill="auto"/>
            <w:tcMar>
              <w:left w:w="103" w:type="dxa"/>
            </w:tcMar>
            <w:vAlign w:val="center"/>
          </w:tcPr>
          <w:p w:rsidR="001F1255" w:rsidRDefault="001F1255">
            <w:pPr>
              <w:pStyle w:val="NoSpacing"/>
              <w:jc w:val="right"/>
              <w:rPr>
                <w:rFonts w:ascii="Arial" w:hAnsi="Arial" w:cs="Arial"/>
                <w:color w:val="252525"/>
                <w:sz w:val="19"/>
                <w:szCs w:val="19"/>
              </w:rPr>
            </w:pPr>
          </w:p>
        </w:tc>
      </w:tr>
      <w:tr w:rsidR="001F1255">
        <w:tc>
          <w:tcPr>
            <w:tcW w:w="2429" w:type="dxa"/>
            <w:tcBorders>
              <w:top w:val="nil"/>
              <w:bottom w:val="nil"/>
            </w:tcBorders>
            <w:shd w:val="clear" w:color="auto" w:fill="auto"/>
            <w:tcMar>
              <w:left w:w="103" w:type="dxa"/>
            </w:tcMar>
          </w:tcPr>
          <w:p w:rsidR="001F1255" w:rsidRDefault="00770F49">
            <w:pPr>
              <w:pStyle w:val="NoSpacing"/>
              <w:jc w:val="left"/>
              <w:rPr>
                <w:rFonts w:ascii="Arial" w:hAnsi="Arial" w:cs="Arial"/>
                <w:color w:val="252525"/>
                <w:sz w:val="19"/>
                <w:szCs w:val="19"/>
              </w:rPr>
            </w:pPr>
            <w:r>
              <w:rPr>
                <w:rFonts w:ascii="Arial" w:hAnsi="Arial" w:cs="Arial"/>
                <w:color w:val="252525"/>
                <w:sz w:val="19"/>
                <w:szCs w:val="19"/>
              </w:rPr>
              <w:t>C/S L&amp;O -Military</w:t>
            </w:r>
          </w:p>
        </w:tc>
        <w:tc>
          <w:tcPr>
            <w:tcW w:w="1261"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0</w:t>
            </w:r>
          </w:p>
        </w:tc>
        <w:tc>
          <w:tcPr>
            <w:tcW w:w="126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0</w:t>
            </w:r>
          </w:p>
        </w:tc>
        <w:tc>
          <w:tcPr>
            <w:tcW w:w="135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 xml:space="preserve"> 295,000</w:t>
            </w:r>
          </w:p>
        </w:tc>
        <w:tc>
          <w:tcPr>
            <w:tcW w:w="1260"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0</w:t>
            </w:r>
          </w:p>
        </w:tc>
        <w:tc>
          <w:tcPr>
            <w:tcW w:w="1259" w:type="dxa"/>
            <w:tcBorders>
              <w:top w:val="nil"/>
              <w:bottom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1,661,326</w:t>
            </w:r>
          </w:p>
        </w:tc>
      </w:tr>
      <w:tr w:rsidR="001F1255">
        <w:trPr>
          <w:trHeight w:val="359"/>
        </w:trPr>
        <w:tc>
          <w:tcPr>
            <w:tcW w:w="2429" w:type="dxa"/>
            <w:tcBorders>
              <w:top w:val="nil"/>
            </w:tcBorders>
            <w:shd w:val="clear" w:color="auto" w:fill="auto"/>
            <w:tcMar>
              <w:left w:w="103" w:type="dxa"/>
            </w:tcMar>
            <w:vAlign w:val="center"/>
          </w:tcPr>
          <w:p w:rsidR="001F1255" w:rsidRDefault="00770F49">
            <w:pPr>
              <w:pStyle w:val="NoSpacing"/>
              <w:jc w:val="left"/>
              <w:rPr>
                <w:rFonts w:ascii="Arial" w:hAnsi="Arial" w:cs="Arial"/>
                <w:color w:val="252525"/>
                <w:sz w:val="19"/>
                <w:szCs w:val="19"/>
              </w:rPr>
            </w:pPr>
            <w:r>
              <w:rPr>
                <w:rFonts w:ascii="Arial" w:hAnsi="Arial" w:cs="Arial"/>
                <w:color w:val="252525"/>
                <w:sz w:val="19"/>
                <w:szCs w:val="19"/>
              </w:rPr>
              <w:t xml:space="preserve">C/S-L&amp;O-Non-Military </w:t>
            </w:r>
          </w:p>
        </w:tc>
        <w:tc>
          <w:tcPr>
            <w:tcW w:w="1261" w:type="dxa"/>
            <w:tcBorders>
              <w:top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10,699,198</w:t>
            </w:r>
          </w:p>
        </w:tc>
        <w:tc>
          <w:tcPr>
            <w:tcW w:w="1260" w:type="dxa"/>
            <w:tcBorders>
              <w:top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9,699,612</w:t>
            </w:r>
          </w:p>
        </w:tc>
        <w:tc>
          <w:tcPr>
            <w:tcW w:w="1350" w:type="dxa"/>
            <w:tcBorders>
              <w:top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12,803,754</w:t>
            </w:r>
          </w:p>
        </w:tc>
        <w:tc>
          <w:tcPr>
            <w:tcW w:w="1260" w:type="dxa"/>
            <w:tcBorders>
              <w:top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10,456,117</w:t>
            </w:r>
          </w:p>
        </w:tc>
        <w:tc>
          <w:tcPr>
            <w:tcW w:w="1259" w:type="dxa"/>
            <w:tcBorders>
              <w:top w:val="nil"/>
            </w:tcBorders>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12,979,100</w:t>
            </w:r>
          </w:p>
        </w:tc>
      </w:tr>
      <w:tr w:rsidR="001F1255">
        <w:trPr>
          <w:trHeight w:val="359"/>
        </w:trPr>
        <w:tc>
          <w:tcPr>
            <w:tcW w:w="2429" w:type="dxa"/>
            <w:shd w:val="clear" w:color="auto" w:fill="auto"/>
            <w:tcMar>
              <w:left w:w="103" w:type="dxa"/>
            </w:tcMar>
            <w:vAlign w:val="center"/>
          </w:tcPr>
          <w:p w:rsidR="001F1255" w:rsidRDefault="00770F49">
            <w:pPr>
              <w:pStyle w:val="NoSpacing"/>
              <w:jc w:val="left"/>
              <w:rPr>
                <w:rFonts w:ascii="Arial" w:hAnsi="Arial" w:cs="Arial"/>
                <w:color w:val="252525"/>
                <w:sz w:val="19"/>
                <w:szCs w:val="19"/>
              </w:rPr>
            </w:pPr>
            <w:r>
              <w:rPr>
                <w:rFonts w:ascii="Arial" w:hAnsi="Arial" w:cs="Arial"/>
                <w:color w:val="252525"/>
                <w:sz w:val="19"/>
                <w:szCs w:val="19"/>
              </w:rPr>
              <w:t>Total L&amp;O Cost</w:t>
            </w:r>
          </w:p>
        </w:tc>
        <w:tc>
          <w:tcPr>
            <w:tcW w:w="1261"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10,699,198</w:t>
            </w:r>
          </w:p>
        </w:tc>
        <w:tc>
          <w:tcPr>
            <w:tcW w:w="1260"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9,699,612</w:t>
            </w:r>
          </w:p>
        </w:tc>
        <w:tc>
          <w:tcPr>
            <w:tcW w:w="1350"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13,098,754</w:t>
            </w:r>
          </w:p>
        </w:tc>
        <w:tc>
          <w:tcPr>
            <w:tcW w:w="1260"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10,456,117</w:t>
            </w:r>
          </w:p>
        </w:tc>
        <w:tc>
          <w:tcPr>
            <w:tcW w:w="1259"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14,640,426</w:t>
            </w:r>
          </w:p>
        </w:tc>
      </w:tr>
      <w:tr w:rsidR="001F1255">
        <w:trPr>
          <w:trHeight w:val="402"/>
        </w:trPr>
        <w:tc>
          <w:tcPr>
            <w:tcW w:w="2429" w:type="dxa"/>
            <w:shd w:val="clear" w:color="auto" w:fill="auto"/>
            <w:tcMar>
              <w:left w:w="103" w:type="dxa"/>
            </w:tcMar>
            <w:vAlign w:val="center"/>
          </w:tcPr>
          <w:p w:rsidR="001F1255" w:rsidRDefault="00770F49">
            <w:pPr>
              <w:pStyle w:val="NoSpacing"/>
              <w:jc w:val="left"/>
              <w:rPr>
                <w:rFonts w:ascii="Arial" w:hAnsi="Arial" w:cs="Arial"/>
                <w:color w:val="252525"/>
                <w:sz w:val="19"/>
                <w:szCs w:val="19"/>
              </w:rPr>
            </w:pPr>
            <w:r>
              <w:rPr>
                <w:rFonts w:ascii="Arial" w:hAnsi="Arial" w:cs="Arial"/>
                <w:color w:val="252525"/>
                <w:sz w:val="19"/>
                <w:szCs w:val="19"/>
              </w:rPr>
              <w:t xml:space="preserve">Deficit </w:t>
            </w:r>
          </w:p>
        </w:tc>
        <w:tc>
          <w:tcPr>
            <w:tcW w:w="1261"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(8,942,929)</w:t>
            </w:r>
          </w:p>
        </w:tc>
        <w:tc>
          <w:tcPr>
            <w:tcW w:w="1260"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(8,466,323)</w:t>
            </w:r>
          </w:p>
        </w:tc>
        <w:tc>
          <w:tcPr>
            <w:tcW w:w="1350" w:type="dxa"/>
            <w:shd w:val="clear" w:color="auto" w:fill="auto"/>
            <w:tcMar>
              <w:left w:w="103" w:type="dxa"/>
            </w:tcMar>
            <w:vAlign w:val="center"/>
          </w:tcPr>
          <w:p w:rsidR="001F1255" w:rsidRDefault="00770F49">
            <w:pPr>
              <w:pStyle w:val="NoSpacing"/>
              <w:ind w:left="-108"/>
              <w:jc w:val="right"/>
              <w:rPr>
                <w:rFonts w:ascii="Arial" w:hAnsi="Arial" w:cs="Arial"/>
                <w:color w:val="252525"/>
                <w:sz w:val="19"/>
                <w:szCs w:val="19"/>
              </w:rPr>
            </w:pPr>
            <w:r>
              <w:rPr>
                <w:rFonts w:ascii="Arial" w:hAnsi="Arial" w:cs="Arial"/>
                <w:color w:val="252525"/>
                <w:sz w:val="19"/>
                <w:szCs w:val="19"/>
              </w:rPr>
              <w:t>(10,820,071)</w:t>
            </w:r>
          </w:p>
        </w:tc>
        <w:tc>
          <w:tcPr>
            <w:tcW w:w="1260"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(6,699,907)</w:t>
            </w:r>
          </w:p>
        </w:tc>
        <w:tc>
          <w:tcPr>
            <w:tcW w:w="1259"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(8,553,233)</w:t>
            </w:r>
          </w:p>
        </w:tc>
      </w:tr>
      <w:tr w:rsidR="001F1255">
        <w:trPr>
          <w:trHeight w:val="368"/>
        </w:trPr>
        <w:tc>
          <w:tcPr>
            <w:tcW w:w="2429" w:type="dxa"/>
            <w:shd w:val="clear" w:color="auto" w:fill="auto"/>
            <w:tcMar>
              <w:left w:w="103" w:type="dxa"/>
            </w:tcMar>
            <w:vAlign w:val="center"/>
          </w:tcPr>
          <w:p w:rsidR="001F1255" w:rsidRDefault="00770F49">
            <w:pPr>
              <w:pStyle w:val="NoSpacing"/>
              <w:jc w:val="left"/>
              <w:rPr>
                <w:rFonts w:ascii="Arial" w:hAnsi="Arial" w:cs="Arial"/>
                <w:color w:val="252525"/>
                <w:sz w:val="19"/>
                <w:szCs w:val="19"/>
              </w:rPr>
            </w:pPr>
            <w:r>
              <w:rPr>
                <w:rFonts w:ascii="Arial" w:hAnsi="Arial" w:cs="Arial"/>
                <w:color w:val="252525"/>
                <w:sz w:val="19"/>
                <w:szCs w:val="19"/>
              </w:rPr>
              <w:t>Cost over Sales (%)</w:t>
            </w:r>
          </w:p>
        </w:tc>
        <w:tc>
          <w:tcPr>
            <w:tcW w:w="1261"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609 %</w:t>
            </w:r>
          </w:p>
        </w:tc>
        <w:tc>
          <w:tcPr>
            <w:tcW w:w="1260"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686 %</w:t>
            </w:r>
          </w:p>
        </w:tc>
        <w:tc>
          <w:tcPr>
            <w:tcW w:w="1350"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575 %</w:t>
            </w:r>
          </w:p>
        </w:tc>
        <w:tc>
          <w:tcPr>
            <w:tcW w:w="1260"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278 %</w:t>
            </w:r>
          </w:p>
        </w:tc>
        <w:tc>
          <w:tcPr>
            <w:tcW w:w="1259" w:type="dxa"/>
            <w:shd w:val="clear" w:color="auto" w:fill="auto"/>
            <w:tcMar>
              <w:left w:w="103" w:type="dxa"/>
            </w:tcMar>
            <w:vAlign w:val="center"/>
          </w:tcPr>
          <w:p w:rsidR="001F1255" w:rsidRDefault="00770F49">
            <w:pPr>
              <w:pStyle w:val="NoSpacing"/>
              <w:jc w:val="right"/>
              <w:rPr>
                <w:rFonts w:ascii="Arial" w:hAnsi="Arial" w:cs="Arial"/>
                <w:color w:val="252525"/>
                <w:sz w:val="19"/>
                <w:szCs w:val="19"/>
              </w:rPr>
            </w:pPr>
            <w:r>
              <w:rPr>
                <w:rFonts w:ascii="Arial" w:hAnsi="Arial" w:cs="Arial"/>
                <w:color w:val="252525"/>
                <w:sz w:val="19"/>
                <w:szCs w:val="19"/>
              </w:rPr>
              <w:t>241 %</w:t>
            </w:r>
          </w:p>
        </w:tc>
      </w:tr>
    </w:tbl>
    <w:p w:rsidR="001F1255" w:rsidRDefault="001F1255">
      <w:pPr>
        <w:pStyle w:val="NoSpacing"/>
        <w:ind w:left="360"/>
        <w:rPr>
          <w:rFonts w:ascii="Arial" w:hAnsi="Arial" w:cs="Arial"/>
          <w:color w:val="252525"/>
          <w:sz w:val="22"/>
          <w:szCs w:val="22"/>
        </w:rPr>
      </w:pPr>
    </w:p>
    <w:p w:rsidR="001F1255" w:rsidRDefault="001F1255">
      <w:pPr>
        <w:ind w:left="270" w:right="-18"/>
        <w:outlineLvl w:val="0"/>
        <w:rPr>
          <w:rFonts w:cs="Arial"/>
          <w:sz w:val="22"/>
          <w:szCs w:val="22"/>
        </w:rPr>
      </w:pPr>
      <w:bookmarkStart w:id="1" w:name="_MON_1550415291"/>
      <w:bookmarkEnd w:id="1"/>
    </w:p>
    <w:p w:rsidR="001F1255" w:rsidRDefault="00770F49">
      <w:pPr>
        <w:ind w:left="270" w:right="-18"/>
        <w:outlineLvl w:val="0"/>
        <w:rPr>
          <w:rFonts w:cs="Arial"/>
          <w:sz w:val="22"/>
          <w:szCs w:val="22"/>
        </w:rPr>
      </w:pPr>
      <w:r>
        <w:rPr>
          <w:rFonts w:cs="Arial"/>
          <w:sz w:val="22"/>
          <w:szCs w:val="22"/>
        </w:rPr>
        <w:t>Clearly, PADC’s fiscal data portray a pattern of operational deficits totaling about P43.480 million for the past five years.  As could be gleaned from the table, cost of sales exceed</w:t>
      </w:r>
      <w:r w:rsidR="00346AC0">
        <w:rPr>
          <w:rFonts w:cs="Arial"/>
          <w:sz w:val="22"/>
          <w:szCs w:val="22"/>
        </w:rPr>
        <w:t>ed revenues from a range of 241 per cent to as much as 686 per cent</w:t>
      </w:r>
      <w:r>
        <w:rPr>
          <w:rFonts w:cs="Arial"/>
          <w:sz w:val="22"/>
          <w:szCs w:val="22"/>
        </w:rPr>
        <w:t xml:space="preserve"> during said period.  While final income figures remain positive from 2012 to 2016, it is apparent that the Corporation has stayed afloat due to proceeds from rent, interest and miscellaneous revenues which are not from its core business mandate but are merely supplementary in nature.</w:t>
      </w:r>
    </w:p>
    <w:p w:rsidR="001F1255" w:rsidRDefault="001F1255">
      <w:pPr>
        <w:ind w:left="270" w:right="-18"/>
        <w:outlineLvl w:val="0"/>
        <w:rPr>
          <w:rFonts w:cs="Arial"/>
          <w:sz w:val="22"/>
          <w:szCs w:val="22"/>
        </w:rPr>
      </w:pPr>
    </w:p>
    <w:p w:rsidR="001F1255" w:rsidRDefault="00770F49">
      <w:pPr>
        <w:ind w:left="270" w:right="-18"/>
        <w:outlineLvl w:val="0"/>
        <w:rPr>
          <w:rFonts w:cs="Arial"/>
          <w:sz w:val="22"/>
          <w:szCs w:val="22"/>
        </w:rPr>
      </w:pPr>
      <w:r>
        <w:rPr>
          <w:rFonts w:cs="Arial"/>
          <w:sz w:val="22"/>
          <w:szCs w:val="22"/>
        </w:rPr>
        <w:lastRenderedPageBreak/>
        <w:t>Certainly, this situation illustrates a serious concern that needs to be urgently addressed if the Corporation aspires to survive as a going concern that is capable of performing its business mandate.</w:t>
      </w:r>
    </w:p>
    <w:p w:rsidR="001F1255" w:rsidRDefault="001F1255">
      <w:pPr>
        <w:ind w:left="270" w:right="-18"/>
        <w:outlineLvl w:val="0"/>
        <w:rPr>
          <w:rFonts w:cs="Arial"/>
          <w:sz w:val="22"/>
          <w:szCs w:val="22"/>
        </w:rPr>
      </w:pPr>
    </w:p>
    <w:p w:rsidR="001F1255" w:rsidRDefault="00770F49">
      <w:pPr>
        <w:ind w:left="270" w:right="-18"/>
        <w:outlineLvl w:val="0"/>
        <w:rPr>
          <w:rFonts w:cs="Arial"/>
          <w:sz w:val="22"/>
          <w:szCs w:val="22"/>
        </w:rPr>
      </w:pPr>
      <w:r>
        <w:rPr>
          <w:rFonts w:cs="Arial"/>
          <w:sz w:val="22"/>
          <w:szCs w:val="22"/>
        </w:rPr>
        <w:t>We recommended that PADC’s governing body and corporate management perform a comprehensive review of the Corporation’s structure, policies and business processes to promptly address the challenging state of affairs of the Corporation.</w:t>
      </w:r>
    </w:p>
    <w:p w:rsidR="001F1255" w:rsidRDefault="001F1255">
      <w:pPr>
        <w:ind w:left="270" w:right="-18"/>
        <w:outlineLvl w:val="0"/>
        <w:rPr>
          <w:rFonts w:cs="Arial"/>
          <w:sz w:val="22"/>
          <w:szCs w:val="22"/>
        </w:rPr>
      </w:pPr>
    </w:p>
    <w:p w:rsidR="001F1255" w:rsidRDefault="00770F49">
      <w:pPr>
        <w:ind w:left="270" w:right="-18"/>
        <w:outlineLvl w:val="0"/>
        <w:rPr>
          <w:rFonts w:cs="Arial"/>
          <w:sz w:val="22"/>
          <w:szCs w:val="22"/>
        </w:rPr>
      </w:pPr>
      <w:r>
        <w:rPr>
          <w:rFonts w:cs="Arial"/>
          <w:sz w:val="22"/>
          <w:szCs w:val="22"/>
        </w:rPr>
        <w:t>Management takes exception to our observation that the situation is indicative of serious problems in the Corporation’s structure, policies and business processes.  While the operating deficit has ensued for the past five consecutive years, Management believes that an aggressive and well-planned marketing strategy will lure prospective clients both from the private sector and government entities such as the Philippine Air Force.  The Corporation continues to confer with prospective clients and formulate strategies to update its capabilities in anticipation of future business opportunities.</w:t>
      </w:r>
    </w:p>
    <w:p w:rsidR="001F1255" w:rsidRDefault="001F1255">
      <w:pPr>
        <w:ind w:left="270" w:right="-18"/>
        <w:outlineLvl w:val="0"/>
        <w:rPr>
          <w:rFonts w:cs="Arial"/>
          <w:sz w:val="22"/>
          <w:szCs w:val="22"/>
        </w:rPr>
      </w:pPr>
    </w:p>
    <w:p w:rsidR="001F1255" w:rsidRDefault="00770F49">
      <w:pPr>
        <w:ind w:left="270" w:right="-18"/>
        <w:outlineLvl w:val="0"/>
        <w:rPr>
          <w:rFonts w:cs="Arial"/>
          <w:sz w:val="22"/>
          <w:szCs w:val="22"/>
        </w:rPr>
      </w:pPr>
      <w:r>
        <w:rPr>
          <w:rFonts w:cs="Arial"/>
          <w:sz w:val="22"/>
          <w:szCs w:val="22"/>
        </w:rPr>
        <w:t>We requested that Management furnish the team with copies of its marketing strategies and other sales promotional activities for future reference in audit.</w:t>
      </w:r>
    </w:p>
    <w:p w:rsidR="001F1255" w:rsidRDefault="001F1255">
      <w:pPr>
        <w:ind w:left="270" w:right="-18"/>
        <w:outlineLvl w:val="0"/>
        <w:rPr>
          <w:rFonts w:cs="Arial"/>
          <w:sz w:val="22"/>
          <w:szCs w:val="22"/>
        </w:rPr>
      </w:pPr>
    </w:p>
    <w:p w:rsidR="001F1255" w:rsidRDefault="001F1255">
      <w:pPr>
        <w:ind w:left="270" w:right="-18"/>
        <w:outlineLvl w:val="0"/>
        <w:rPr>
          <w:rFonts w:cs="Arial"/>
          <w:sz w:val="22"/>
          <w:szCs w:val="22"/>
        </w:rPr>
      </w:pPr>
    </w:p>
    <w:p w:rsidR="001F1255" w:rsidRDefault="00770F49">
      <w:pPr>
        <w:ind w:left="270" w:hanging="270"/>
        <w:outlineLvl w:val="0"/>
        <w:rPr>
          <w:rFonts w:cs="Arial"/>
          <w:b/>
          <w:sz w:val="22"/>
          <w:szCs w:val="22"/>
        </w:rPr>
      </w:pPr>
      <w:r>
        <w:rPr>
          <w:rFonts w:cs="Arial"/>
          <w:b/>
          <w:bCs/>
          <w:sz w:val="22"/>
          <w:szCs w:val="22"/>
        </w:rPr>
        <w:t xml:space="preserve">2. </w:t>
      </w:r>
      <w:r>
        <w:rPr>
          <w:rFonts w:cs="Arial"/>
          <w:b/>
          <w:sz w:val="22"/>
          <w:szCs w:val="22"/>
        </w:rPr>
        <w:t>Failure of the Corporation to renew its Bureau of Customs (BOC) Importation License in a timely manner resulted in the incurrence of unnecessary costs totaling P60,000 for the release of aircraft parts from the BOC warehouse.</w:t>
      </w:r>
    </w:p>
    <w:p w:rsidR="001F1255" w:rsidRDefault="00770F49">
      <w:pPr>
        <w:tabs>
          <w:tab w:val="left" w:pos="360"/>
        </w:tabs>
        <w:ind w:left="360" w:hanging="360"/>
        <w:rPr>
          <w:rFonts w:cs="Arial"/>
          <w:b/>
          <w:bCs/>
          <w:sz w:val="22"/>
          <w:szCs w:val="22"/>
        </w:rPr>
      </w:pPr>
      <w:r>
        <w:rPr>
          <w:rFonts w:cs="Arial"/>
          <w:b/>
          <w:bCs/>
          <w:sz w:val="22"/>
          <w:szCs w:val="22"/>
        </w:rPr>
        <w:t xml:space="preserve"> </w:t>
      </w:r>
    </w:p>
    <w:p w:rsidR="001F1255" w:rsidRDefault="00770F49">
      <w:pPr>
        <w:ind w:left="270"/>
        <w:outlineLvl w:val="0"/>
        <w:rPr>
          <w:rFonts w:cs="Arial"/>
          <w:sz w:val="22"/>
          <w:szCs w:val="22"/>
        </w:rPr>
      </w:pPr>
      <w:r>
        <w:rPr>
          <w:rFonts w:cs="Arial"/>
          <w:sz w:val="22"/>
          <w:szCs w:val="22"/>
        </w:rPr>
        <w:t>Our audit of expenses for 2016 disclosed the payment of P99,477 (Disbursement Voucher No. 01-16-07-017) to 88 Sunfreight Express Corporation, a customs brokerage firm, for services rendered for ex-work/airfreight, customs facilitation, processing and brokerage for the release of imported aircraft parts.  Among the supporting documents for said payment was Statement of Account No. 1844 dated June 30, 2016 stating that, of the P91,875 being billed, P60,000 pertained to “customs facilitation/non-import license”, a charge that supposedly could have been avoided had PADC itself transacted with the BOC.  However, since the Corporation’s import license at that time was expired, it had to secure the services of 88 Sunfreight Express Corporation to obtain the release of the imported aircraft parts, thereby incurring additional unnecessary costs.</w:t>
      </w:r>
    </w:p>
    <w:p w:rsidR="001F1255" w:rsidRDefault="001F1255">
      <w:pPr>
        <w:ind w:left="270"/>
        <w:outlineLvl w:val="0"/>
        <w:rPr>
          <w:rFonts w:cs="Arial"/>
          <w:sz w:val="22"/>
          <w:szCs w:val="22"/>
        </w:rPr>
      </w:pPr>
    </w:p>
    <w:p w:rsidR="001F1255" w:rsidRDefault="00770F49">
      <w:pPr>
        <w:ind w:left="270"/>
        <w:outlineLvl w:val="0"/>
        <w:rPr>
          <w:rFonts w:cs="Arial"/>
          <w:sz w:val="22"/>
          <w:szCs w:val="22"/>
        </w:rPr>
      </w:pPr>
      <w:r>
        <w:rPr>
          <w:rFonts w:cs="Arial"/>
          <w:sz w:val="22"/>
          <w:szCs w:val="22"/>
        </w:rPr>
        <w:t>Section 4.1 of COA Circular No. 2012-003 dated October 29, 2012 defines unnecessary expenses as expenditures which could not pass the test of prudence thereby denoting non-responsiveness to the exigencies of the service.</w:t>
      </w:r>
    </w:p>
    <w:p w:rsidR="001F1255" w:rsidRDefault="001F1255">
      <w:pPr>
        <w:ind w:left="270"/>
        <w:outlineLvl w:val="0"/>
        <w:rPr>
          <w:rFonts w:cs="Arial"/>
          <w:sz w:val="22"/>
          <w:szCs w:val="22"/>
        </w:rPr>
      </w:pPr>
    </w:p>
    <w:p w:rsidR="001F1255" w:rsidRDefault="00770F49">
      <w:pPr>
        <w:ind w:left="270"/>
        <w:outlineLvl w:val="0"/>
        <w:rPr>
          <w:rFonts w:cs="Arial"/>
          <w:sz w:val="22"/>
          <w:szCs w:val="22"/>
        </w:rPr>
      </w:pPr>
      <w:r>
        <w:rPr>
          <w:rFonts w:cs="Arial"/>
          <w:sz w:val="22"/>
          <w:szCs w:val="22"/>
        </w:rPr>
        <w:t>It appears that there was negligence on the part of Management to file for the timely renewal of its import license which is essential for PADC to be able to secure the release of imported aircraft parts it had obtained from sources outside of the country.  This capability is vital for the Corporation to fulfill its contract commitments to its customers.</w:t>
      </w:r>
    </w:p>
    <w:p w:rsidR="001F1255" w:rsidRDefault="001F1255">
      <w:pPr>
        <w:ind w:left="270"/>
        <w:outlineLvl w:val="0"/>
        <w:rPr>
          <w:rFonts w:cs="Arial"/>
          <w:sz w:val="22"/>
          <w:szCs w:val="22"/>
        </w:rPr>
      </w:pPr>
    </w:p>
    <w:p w:rsidR="001F1255" w:rsidRDefault="00770F49">
      <w:pPr>
        <w:ind w:left="270"/>
        <w:outlineLvl w:val="0"/>
        <w:rPr>
          <w:rFonts w:cs="Arial"/>
          <w:sz w:val="22"/>
          <w:szCs w:val="22"/>
        </w:rPr>
      </w:pPr>
      <w:r>
        <w:rPr>
          <w:rFonts w:cs="Arial"/>
          <w:sz w:val="22"/>
          <w:szCs w:val="22"/>
        </w:rPr>
        <w:t>We recommended that Management conduct an inquiry into the cause of the Corporation’s failure to renew its import license in order to pinpoint responsibility therefor</w:t>
      </w:r>
      <w:r w:rsidR="00346AC0">
        <w:rPr>
          <w:rFonts w:cs="Arial"/>
          <w:sz w:val="22"/>
          <w:szCs w:val="22"/>
        </w:rPr>
        <w:t>e</w:t>
      </w:r>
      <w:r>
        <w:rPr>
          <w:rFonts w:cs="Arial"/>
          <w:sz w:val="22"/>
          <w:szCs w:val="22"/>
        </w:rPr>
        <w:t xml:space="preserve"> and to avoid the recurrence of the situation in the future.</w:t>
      </w:r>
    </w:p>
    <w:p w:rsidR="001F1255" w:rsidRDefault="001F1255">
      <w:pPr>
        <w:ind w:left="270"/>
        <w:outlineLvl w:val="0"/>
        <w:rPr>
          <w:rFonts w:cs="Arial"/>
          <w:sz w:val="22"/>
          <w:szCs w:val="22"/>
        </w:rPr>
      </w:pPr>
    </w:p>
    <w:p w:rsidR="001F1255" w:rsidRDefault="00770F49">
      <w:pPr>
        <w:ind w:left="270"/>
        <w:outlineLvl w:val="0"/>
        <w:rPr>
          <w:rFonts w:cs="Arial"/>
          <w:sz w:val="22"/>
          <w:szCs w:val="22"/>
        </w:rPr>
      </w:pPr>
      <w:r>
        <w:rPr>
          <w:rFonts w:cs="Arial"/>
          <w:sz w:val="22"/>
          <w:szCs w:val="22"/>
        </w:rPr>
        <w:t xml:space="preserve">According to Management, the reason for the delay in the renewal of its importation license was due to the misperception that only the agency head can be designated as the Corporation’s official representative to the BOC.  The President/CEO proposed that a </w:t>
      </w:r>
      <w:r>
        <w:rPr>
          <w:rFonts w:cs="Arial"/>
          <w:sz w:val="22"/>
          <w:szCs w:val="22"/>
        </w:rPr>
        <w:lastRenderedPageBreak/>
        <w:t xml:space="preserve">regular permanent employee be named in his stead in order to avoid a situation wherein they will have to report a change in their representative should he later be replaced.  Unfortunately, it took sometime before it was finally ascertained from the BOC that an officer other than the agency head may be designated as representative for the importation license.  Pending resolution of the issue, the Corporation had to obtain the release of its imported aircraft spare parts, thus, had to avail of the services of 88 Sunfreight Express Corporation to avoid additional charges for the storage of said spare parts. </w:t>
      </w:r>
    </w:p>
    <w:p w:rsidR="001F1255" w:rsidRDefault="001F1255">
      <w:pPr>
        <w:ind w:left="270"/>
        <w:outlineLvl w:val="0"/>
        <w:rPr>
          <w:rFonts w:cs="Arial"/>
          <w:sz w:val="22"/>
          <w:szCs w:val="22"/>
        </w:rPr>
      </w:pPr>
    </w:p>
    <w:p w:rsidR="001F1255" w:rsidRDefault="001F1255">
      <w:pPr>
        <w:ind w:left="270"/>
        <w:outlineLvl w:val="0"/>
        <w:rPr>
          <w:rFonts w:cs="Arial"/>
          <w:sz w:val="22"/>
          <w:szCs w:val="22"/>
        </w:rPr>
      </w:pPr>
    </w:p>
    <w:p w:rsidR="001F1255" w:rsidRDefault="00770F49">
      <w:pPr>
        <w:ind w:left="270" w:hanging="360"/>
        <w:outlineLvl w:val="0"/>
        <w:rPr>
          <w:rFonts w:cs="Arial"/>
          <w:sz w:val="22"/>
          <w:szCs w:val="22"/>
        </w:rPr>
      </w:pPr>
      <w:r>
        <w:rPr>
          <w:rFonts w:cs="Arial"/>
          <w:b/>
          <w:sz w:val="22"/>
          <w:szCs w:val="22"/>
        </w:rPr>
        <w:t>3.  The continued custody at the Toyota Service Center (Toyota Roxas Blvd.) of the official service vehicle assigned to the PADC President and Chief Executive Officer (CEO) has deprived the Corporation of the asset’s beneficial use and may unnecessarily result in additional charges for its storage and safekeeping</w:t>
      </w:r>
      <w:r>
        <w:rPr>
          <w:rFonts w:cs="Arial"/>
          <w:sz w:val="22"/>
          <w:szCs w:val="22"/>
        </w:rPr>
        <w:t xml:space="preserve">. </w:t>
      </w:r>
    </w:p>
    <w:p w:rsidR="001F1255" w:rsidRDefault="001F1255">
      <w:pPr>
        <w:ind w:left="270" w:hanging="360"/>
        <w:outlineLvl w:val="0"/>
        <w:rPr>
          <w:rFonts w:cs="Arial"/>
          <w:sz w:val="22"/>
          <w:szCs w:val="22"/>
        </w:rPr>
      </w:pPr>
    </w:p>
    <w:p w:rsidR="001F1255" w:rsidRDefault="00770F49">
      <w:pPr>
        <w:ind w:left="270"/>
        <w:rPr>
          <w:rFonts w:cs="Arial"/>
          <w:sz w:val="22"/>
          <w:szCs w:val="22"/>
        </w:rPr>
      </w:pPr>
      <w:r>
        <w:rPr>
          <w:rFonts w:cs="Arial"/>
          <w:sz w:val="22"/>
          <w:szCs w:val="22"/>
        </w:rPr>
        <w:t>Our review of the inventory of official vehicles of the Corporation back in July 2016 disclosed that one (1) unit Toyota Camry bearing government plate number SGY-711 owned by and registered under the name of PADC and presently assigned to the Office of the President and CEO, had been consigned for repair at the Toyota Service Center located at Roxas Boulevard in Pasay City since January 2016.</w:t>
      </w:r>
    </w:p>
    <w:p w:rsidR="001F1255" w:rsidRDefault="001F1255">
      <w:pPr>
        <w:ind w:left="270"/>
        <w:rPr>
          <w:rFonts w:cs="Arial"/>
          <w:sz w:val="22"/>
          <w:szCs w:val="22"/>
        </w:rPr>
      </w:pPr>
    </w:p>
    <w:p w:rsidR="001F1255" w:rsidRDefault="00770F49">
      <w:pPr>
        <w:ind w:left="270"/>
        <w:rPr>
          <w:rFonts w:cs="Arial"/>
          <w:sz w:val="22"/>
          <w:szCs w:val="22"/>
        </w:rPr>
      </w:pPr>
      <w:r>
        <w:rPr>
          <w:rFonts w:cs="Arial"/>
          <w:sz w:val="22"/>
          <w:szCs w:val="22"/>
        </w:rPr>
        <w:t>Initial information we gathered was that repair services on the car had been completed in March or April 2016; but the official vehicle, as of our last confirmation on December 21, 2016, continues to remain at the Toyota Service Center.</w:t>
      </w:r>
    </w:p>
    <w:p w:rsidR="001F1255" w:rsidRDefault="001F1255">
      <w:pPr>
        <w:ind w:left="270"/>
        <w:rPr>
          <w:rFonts w:cs="Arial"/>
          <w:sz w:val="22"/>
          <w:szCs w:val="22"/>
        </w:rPr>
      </w:pPr>
    </w:p>
    <w:p w:rsidR="001F1255" w:rsidRDefault="00770F49">
      <w:pPr>
        <w:ind w:left="270"/>
        <w:rPr>
          <w:rFonts w:cs="Arial"/>
          <w:sz w:val="22"/>
          <w:szCs w:val="22"/>
        </w:rPr>
      </w:pPr>
      <w:r>
        <w:rPr>
          <w:rFonts w:cs="Arial"/>
          <w:sz w:val="22"/>
          <w:szCs w:val="22"/>
        </w:rPr>
        <w:t>We call Management’s attention on this concern for two reasons, namely:</w:t>
      </w:r>
    </w:p>
    <w:p w:rsidR="001F1255" w:rsidRDefault="001F1255">
      <w:pPr>
        <w:ind w:left="270"/>
        <w:rPr>
          <w:rFonts w:cs="Arial"/>
          <w:sz w:val="22"/>
          <w:szCs w:val="22"/>
        </w:rPr>
      </w:pPr>
    </w:p>
    <w:p w:rsidR="001F1255" w:rsidRDefault="00770F49" w:rsidP="00346AC0">
      <w:pPr>
        <w:ind w:left="630" w:hanging="360"/>
        <w:rPr>
          <w:rFonts w:cs="Arial"/>
          <w:sz w:val="22"/>
          <w:szCs w:val="22"/>
        </w:rPr>
      </w:pPr>
      <w:r>
        <w:rPr>
          <w:rFonts w:cs="Arial"/>
          <w:sz w:val="22"/>
          <w:szCs w:val="22"/>
        </w:rPr>
        <w:t>a) Accountability for the government asset – pertinent provisions of PD 1445, otherwise known as the “Government Auditing Code of the Philippines”, set the rules on responsibility and accountability for government property. Government personnel entrusted with government funds or property shall be directly responsible therefor</w:t>
      </w:r>
      <w:r w:rsidR="00346AC0">
        <w:rPr>
          <w:rFonts w:cs="Arial"/>
          <w:sz w:val="22"/>
          <w:szCs w:val="22"/>
        </w:rPr>
        <w:t>e</w:t>
      </w:r>
      <w:r>
        <w:rPr>
          <w:rFonts w:cs="Arial"/>
          <w:sz w:val="22"/>
          <w:szCs w:val="22"/>
        </w:rPr>
        <w:t xml:space="preserve"> and loss of damage thereto shall be their personal liability.</w:t>
      </w:r>
    </w:p>
    <w:p w:rsidR="001F1255" w:rsidRDefault="001F1255">
      <w:pPr>
        <w:ind w:left="270"/>
        <w:rPr>
          <w:rFonts w:cs="Arial"/>
          <w:sz w:val="22"/>
          <w:szCs w:val="22"/>
        </w:rPr>
      </w:pPr>
    </w:p>
    <w:p w:rsidR="001F1255" w:rsidRDefault="00770F49" w:rsidP="00346AC0">
      <w:pPr>
        <w:ind w:left="630" w:hanging="360"/>
        <w:rPr>
          <w:rFonts w:cs="Arial"/>
          <w:sz w:val="22"/>
          <w:szCs w:val="22"/>
        </w:rPr>
      </w:pPr>
      <w:r>
        <w:rPr>
          <w:rFonts w:cs="Arial"/>
          <w:sz w:val="22"/>
          <w:szCs w:val="22"/>
        </w:rPr>
        <w:t>b) Possible incurrence of unnecessary expenditures for the continued storage/custody of the official vehicle at the Toyota Service Center.</w:t>
      </w:r>
    </w:p>
    <w:p w:rsidR="001F1255" w:rsidRDefault="001F1255">
      <w:pPr>
        <w:ind w:right="-18"/>
        <w:outlineLvl w:val="0"/>
        <w:rPr>
          <w:rFonts w:cs="Arial"/>
          <w:sz w:val="22"/>
          <w:szCs w:val="22"/>
        </w:rPr>
      </w:pPr>
    </w:p>
    <w:p w:rsidR="001F1255" w:rsidRDefault="00770F49">
      <w:pPr>
        <w:ind w:left="270" w:right="-18"/>
        <w:outlineLvl w:val="0"/>
        <w:rPr>
          <w:rFonts w:cs="Arial"/>
          <w:sz w:val="22"/>
          <w:szCs w:val="22"/>
        </w:rPr>
      </w:pPr>
      <w:r>
        <w:rPr>
          <w:rFonts w:cs="Arial"/>
          <w:sz w:val="22"/>
          <w:szCs w:val="22"/>
        </w:rPr>
        <w:t>According to Management, the Toyota Camry continues to be in the custody of the Toyota Service Center because they refuse to pay for the repairs since they only requested for a cost estimate and did not give their consent to proceed with the recommended work order.  Management claims that the Service Center could not present a written document to prove that a PADC employee or representative authorized them to proceed with the repair job.</w:t>
      </w:r>
    </w:p>
    <w:p w:rsidR="001F1255" w:rsidRDefault="001F1255">
      <w:pPr>
        <w:ind w:left="270" w:right="-18"/>
        <w:outlineLvl w:val="0"/>
        <w:rPr>
          <w:rFonts w:cs="Arial"/>
          <w:sz w:val="22"/>
          <w:szCs w:val="22"/>
        </w:rPr>
      </w:pPr>
    </w:p>
    <w:p w:rsidR="001F1255" w:rsidRDefault="00770F49">
      <w:pPr>
        <w:ind w:left="270" w:right="-18"/>
        <w:outlineLvl w:val="0"/>
        <w:rPr>
          <w:rFonts w:cs="Arial"/>
          <w:sz w:val="22"/>
          <w:szCs w:val="22"/>
        </w:rPr>
      </w:pPr>
      <w:r>
        <w:rPr>
          <w:rFonts w:cs="Arial"/>
          <w:sz w:val="22"/>
          <w:szCs w:val="22"/>
        </w:rPr>
        <w:t>We recommended that Management make a formal written demand for the return of the car and to consider consultations with legal counsel to determine the best course of action regarding the disagreement with Toyota Service Center.</w:t>
      </w:r>
    </w:p>
    <w:p w:rsidR="001F1255" w:rsidRDefault="001F1255">
      <w:pPr>
        <w:outlineLvl w:val="0"/>
        <w:rPr>
          <w:rFonts w:cs="Arial"/>
          <w:sz w:val="22"/>
          <w:szCs w:val="22"/>
        </w:rPr>
      </w:pPr>
    </w:p>
    <w:p w:rsidR="001F1255" w:rsidRDefault="001F1255">
      <w:pPr>
        <w:outlineLvl w:val="0"/>
        <w:rPr>
          <w:rFonts w:cs="Arial"/>
          <w:sz w:val="22"/>
          <w:szCs w:val="22"/>
        </w:rPr>
      </w:pPr>
    </w:p>
    <w:p w:rsidR="001F1255" w:rsidRDefault="00770F49">
      <w:pPr>
        <w:jc w:val="left"/>
        <w:rPr>
          <w:rFonts w:cs="Arial"/>
          <w:sz w:val="22"/>
          <w:szCs w:val="22"/>
        </w:rPr>
      </w:pPr>
      <w:r>
        <w:br w:type="page"/>
      </w:r>
    </w:p>
    <w:p w:rsidR="001F1255" w:rsidRDefault="00770F49">
      <w:pPr>
        <w:outlineLvl w:val="0"/>
        <w:rPr>
          <w:rFonts w:cs="Arial"/>
          <w:i/>
          <w:sz w:val="22"/>
          <w:szCs w:val="22"/>
        </w:rPr>
      </w:pPr>
      <w:r>
        <w:rPr>
          <w:rFonts w:cs="Arial"/>
          <w:i/>
          <w:sz w:val="22"/>
          <w:szCs w:val="22"/>
        </w:rPr>
        <w:lastRenderedPageBreak/>
        <w:t>(The succeeding four observations are reiterations of previous years’ with corresponding adjustments made in the numerical data as appropriate.)</w:t>
      </w:r>
    </w:p>
    <w:p w:rsidR="001F1255" w:rsidRDefault="001F1255">
      <w:pPr>
        <w:outlineLvl w:val="0"/>
        <w:rPr>
          <w:rFonts w:cs="Arial"/>
          <w:sz w:val="22"/>
          <w:szCs w:val="22"/>
        </w:rPr>
      </w:pPr>
    </w:p>
    <w:p w:rsidR="00346AC0" w:rsidRDefault="00346AC0">
      <w:pPr>
        <w:outlineLvl w:val="0"/>
        <w:rPr>
          <w:rFonts w:cs="Arial"/>
          <w:sz w:val="22"/>
          <w:szCs w:val="22"/>
        </w:rPr>
      </w:pPr>
    </w:p>
    <w:p w:rsidR="001F1255" w:rsidRDefault="00770F49">
      <w:pPr>
        <w:ind w:left="270" w:hanging="270"/>
        <w:outlineLvl w:val="0"/>
        <w:rPr>
          <w:rFonts w:cs="Arial"/>
          <w:b/>
          <w:sz w:val="22"/>
          <w:szCs w:val="22"/>
        </w:rPr>
      </w:pPr>
      <w:r>
        <w:rPr>
          <w:rFonts w:cs="Arial"/>
          <w:b/>
          <w:sz w:val="22"/>
          <w:szCs w:val="22"/>
        </w:rPr>
        <w:t>4.</w:t>
      </w:r>
      <w:r>
        <w:rPr>
          <w:rFonts w:cs="Arial"/>
          <w:b/>
          <w:sz w:val="22"/>
          <w:szCs w:val="22"/>
        </w:rPr>
        <w:tab/>
        <w:t>The aircraft parts inventory account continues to be carried in the books of accounts with insufficient allowance for obsolescence thereby overstating the reported net realizable value and understating expenses for 2016 by P17.355 million.</w:t>
      </w:r>
    </w:p>
    <w:p w:rsidR="001F1255" w:rsidRDefault="001F1255">
      <w:pPr>
        <w:ind w:left="270"/>
        <w:outlineLvl w:val="0"/>
        <w:rPr>
          <w:rFonts w:cs="Arial"/>
          <w:sz w:val="22"/>
          <w:szCs w:val="22"/>
        </w:rPr>
      </w:pPr>
    </w:p>
    <w:p w:rsidR="001F1255" w:rsidRDefault="00770F49">
      <w:pPr>
        <w:ind w:left="270"/>
        <w:outlineLvl w:val="0"/>
        <w:rPr>
          <w:rFonts w:cs="Arial"/>
          <w:sz w:val="22"/>
          <w:szCs w:val="22"/>
        </w:rPr>
      </w:pPr>
      <w:r>
        <w:rPr>
          <w:rFonts w:cs="Arial"/>
          <w:sz w:val="22"/>
          <w:szCs w:val="22"/>
        </w:rPr>
        <w:t>Philippine Accounting Standard (PAS) No. 2 requires that inventory items be measured at lower of cost or net realizable value (NRV).  This necessitates that a periodic assessment of the items be conducted to determine their commercial value, and to provide an allowance for their obsolescence, if warranted.</w:t>
      </w:r>
    </w:p>
    <w:p w:rsidR="001F1255" w:rsidRDefault="001F1255">
      <w:pPr>
        <w:ind w:left="270"/>
        <w:outlineLvl w:val="0"/>
        <w:rPr>
          <w:rFonts w:cs="Arial"/>
          <w:sz w:val="22"/>
          <w:szCs w:val="22"/>
        </w:rPr>
      </w:pPr>
    </w:p>
    <w:p w:rsidR="001F1255" w:rsidRDefault="00770F49">
      <w:pPr>
        <w:ind w:left="270"/>
        <w:outlineLvl w:val="0"/>
        <w:rPr>
          <w:rFonts w:cs="Arial"/>
          <w:sz w:val="22"/>
          <w:szCs w:val="22"/>
        </w:rPr>
      </w:pPr>
      <w:r>
        <w:rPr>
          <w:rFonts w:cs="Arial"/>
          <w:sz w:val="22"/>
          <w:szCs w:val="22"/>
        </w:rPr>
        <w:t>In our 2015 audit report, we quoted figures from the Corporation’s books of accounts which show that the allowance for obsolescence for unserviceable and condemned aircraft parts inventory is insufficient by P17.355 million.  It was recommended that Management exert efforts to have its Aircraft Parts Inventory properly appraised by independent Appraisers, not necessarily corporations, or partnerships, but individuals with the capability and knowledge who can satisfactorily render the services needed.  This was suggested in view of Management’s notion that it is costly to hire an independent appraiser in order to correct an accounting error which will not result into any tangible benefit in terms of revenue stream.  However, we stood by our position that an accounting mistreatment must not be perpetually carried in the books of accounts.</w:t>
      </w:r>
    </w:p>
    <w:p w:rsidR="001F1255" w:rsidRDefault="001F1255">
      <w:pPr>
        <w:ind w:left="270"/>
        <w:outlineLvl w:val="0"/>
        <w:rPr>
          <w:rFonts w:cs="Arial"/>
          <w:sz w:val="22"/>
          <w:szCs w:val="22"/>
        </w:rPr>
      </w:pPr>
    </w:p>
    <w:p w:rsidR="001F1255" w:rsidRDefault="00770F49">
      <w:pPr>
        <w:ind w:left="270"/>
        <w:outlineLvl w:val="0"/>
        <w:rPr>
          <w:rFonts w:cs="Arial"/>
          <w:sz w:val="22"/>
          <w:szCs w:val="22"/>
        </w:rPr>
      </w:pPr>
      <w:r>
        <w:rPr>
          <w:rFonts w:cs="Arial"/>
          <w:sz w:val="22"/>
          <w:szCs w:val="22"/>
        </w:rPr>
        <w:t>Our examination of the inventory account disclosed that appropriate adjustments have not been made to increase the balance of the allowance for inventory obsolescence account to present the aircraft parts inventory account at its net realizable value (NRV).</w:t>
      </w:r>
    </w:p>
    <w:p w:rsidR="001F1255" w:rsidRDefault="001F1255">
      <w:pPr>
        <w:ind w:left="270"/>
        <w:outlineLvl w:val="0"/>
        <w:rPr>
          <w:rFonts w:cs="Arial"/>
          <w:sz w:val="22"/>
          <w:szCs w:val="22"/>
        </w:rPr>
      </w:pPr>
    </w:p>
    <w:p w:rsidR="001F1255" w:rsidRDefault="00770F49">
      <w:pPr>
        <w:ind w:left="270"/>
        <w:outlineLvl w:val="0"/>
        <w:rPr>
          <w:rFonts w:cs="Arial"/>
          <w:sz w:val="22"/>
          <w:szCs w:val="22"/>
        </w:rPr>
      </w:pPr>
      <w:r>
        <w:rPr>
          <w:rFonts w:cs="Arial"/>
          <w:sz w:val="22"/>
          <w:szCs w:val="22"/>
        </w:rPr>
        <w:t>We reiterated our previous recommendation that Management initiate the appraisal of its aircraft parts inventory and to adjust the allowance for obsolescence account to reflect the NRV of said inventory account.</w:t>
      </w:r>
    </w:p>
    <w:p w:rsidR="001F1255" w:rsidRDefault="001F1255">
      <w:pPr>
        <w:ind w:left="270"/>
        <w:outlineLvl w:val="0"/>
        <w:rPr>
          <w:rFonts w:cs="Arial"/>
          <w:sz w:val="22"/>
          <w:szCs w:val="22"/>
        </w:rPr>
      </w:pPr>
    </w:p>
    <w:p w:rsidR="001F1255" w:rsidRDefault="001F1255">
      <w:pPr>
        <w:ind w:left="270"/>
        <w:outlineLvl w:val="0"/>
        <w:rPr>
          <w:rFonts w:cs="Arial"/>
          <w:sz w:val="22"/>
          <w:szCs w:val="22"/>
        </w:rPr>
      </w:pPr>
    </w:p>
    <w:p w:rsidR="001F1255" w:rsidRDefault="00770F49">
      <w:pPr>
        <w:ind w:left="270" w:hanging="360"/>
        <w:rPr>
          <w:rFonts w:cs="Arial"/>
          <w:b/>
          <w:sz w:val="22"/>
          <w:szCs w:val="22"/>
        </w:rPr>
      </w:pPr>
      <w:r>
        <w:rPr>
          <w:rFonts w:cs="Arial"/>
          <w:b/>
          <w:sz w:val="22"/>
          <w:szCs w:val="22"/>
        </w:rPr>
        <w:t>5.</w:t>
      </w:r>
      <w:r>
        <w:rPr>
          <w:rFonts w:cs="Arial"/>
          <w:b/>
          <w:sz w:val="22"/>
          <w:szCs w:val="22"/>
        </w:rPr>
        <w:tab/>
        <w:t>The recording of accruals and the payment of liabilities to COA and OGCC representing assessments for cost of audit and legal services of P35.771 million and P2.384 million, respectively, are not updated.</w:t>
      </w:r>
    </w:p>
    <w:p w:rsidR="001F1255" w:rsidRDefault="001F1255">
      <w:pPr>
        <w:ind w:left="270"/>
        <w:outlineLvl w:val="0"/>
        <w:rPr>
          <w:rFonts w:cs="Arial"/>
          <w:sz w:val="22"/>
          <w:szCs w:val="22"/>
        </w:rPr>
      </w:pPr>
    </w:p>
    <w:p w:rsidR="001F1255" w:rsidRDefault="00770F49">
      <w:pPr>
        <w:pStyle w:val="ListParagraph"/>
        <w:ind w:left="270"/>
        <w:rPr>
          <w:rFonts w:cs="Arial"/>
          <w:sz w:val="22"/>
          <w:szCs w:val="22"/>
        </w:rPr>
      </w:pPr>
      <w:r>
        <w:rPr>
          <w:rFonts w:cs="Arial"/>
          <w:sz w:val="22"/>
          <w:szCs w:val="22"/>
        </w:rPr>
        <w:t xml:space="preserve">During our audits of CYs 2013 and 2014, we reported that out of the P11.852 million recorded COA assessments, only P2.400 million had been paid, and that out of the P3.440 million recorded OGCC assessments, only P1.056 million had been settled. Further, we emphasized that no accruals for COA cost of audit services were taken up in the books for the period 2007 to 2013. </w:t>
      </w:r>
    </w:p>
    <w:p w:rsidR="001F1255" w:rsidRDefault="001F1255">
      <w:pPr>
        <w:pStyle w:val="ListParagraph"/>
        <w:ind w:left="270"/>
        <w:rPr>
          <w:rFonts w:cs="Arial"/>
          <w:sz w:val="22"/>
          <w:szCs w:val="22"/>
        </w:rPr>
      </w:pPr>
    </w:p>
    <w:p w:rsidR="001F1255" w:rsidRDefault="00770F49">
      <w:pPr>
        <w:pStyle w:val="ListParagraph"/>
        <w:ind w:left="270"/>
        <w:rPr>
          <w:rFonts w:cs="Arial"/>
          <w:sz w:val="22"/>
          <w:szCs w:val="22"/>
        </w:rPr>
      </w:pPr>
      <w:r>
        <w:rPr>
          <w:rFonts w:cs="Arial"/>
          <w:sz w:val="22"/>
          <w:szCs w:val="22"/>
        </w:rPr>
        <w:t>Balances as of December 31, 2016 remained virtually unchanged as no further accruals were taken up nor payments made to COA and the OGCC as recommended last year. However, updated information as of July 31, 2016 from COA’s Planning, Financial and Management Sector (PFMS) showed that the Corporation’s actual liability for cost of audit services amounted to P35.771 million. Details are presented on the following page.</w:t>
      </w:r>
    </w:p>
    <w:p w:rsidR="001F1255" w:rsidRDefault="00770F49">
      <w:pPr>
        <w:ind w:left="720"/>
        <w:rPr>
          <w:rFonts w:cs="Arial"/>
          <w:b/>
          <w:bCs/>
          <w:sz w:val="22"/>
          <w:szCs w:val="22"/>
        </w:rPr>
      </w:pPr>
      <w:r>
        <w:rPr>
          <w:rFonts w:cs="Arial"/>
          <w:b/>
          <w:bCs/>
          <w:sz w:val="22"/>
          <w:szCs w:val="22"/>
        </w:rPr>
        <w:t xml:space="preserve">     </w:t>
      </w:r>
    </w:p>
    <w:p w:rsidR="001F1255" w:rsidRDefault="00770F49">
      <w:pPr>
        <w:ind w:left="450"/>
        <w:rPr>
          <w:rFonts w:cs="Arial"/>
          <w:sz w:val="22"/>
        </w:rPr>
      </w:pPr>
      <w:r>
        <w:rPr>
          <w:rFonts w:cs="Arial"/>
          <w:sz w:val="22"/>
        </w:rPr>
        <w:tab/>
      </w:r>
      <w:r>
        <w:rPr>
          <w:rFonts w:cs="Arial"/>
          <w:sz w:val="22"/>
        </w:rPr>
        <w:tab/>
      </w:r>
    </w:p>
    <w:p w:rsidR="001F1255" w:rsidRPr="00346AC0" w:rsidRDefault="00770F49" w:rsidP="00346AC0">
      <w:r>
        <w:br w:type="page"/>
      </w:r>
      <w:r w:rsidR="00346AC0">
        <w:lastRenderedPageBreak/>
        <w:t xml:space="preserve">                      </w:t>
      </w:r>
      <w:r>
        <w:rPr>
          <w:rFonts w:cs="Arial"/>
          <w:b/>
          <w:sz w:val="22"/>
          <w:u w:val="single"/>
        </w:rPr>
        <w:t xml:space="preserve">COA </w:t>
      </w:r>
    </w:p>
    <w:p w:rsidR="001F1255" w:rsidRDefault="001F1255">
      <w:pPr>
        <w:rPr>
          <w:rFonts w:cs="Arial"/>
          <w:sz w:val="22"/>
        </w:rPr>
      </w:pPr>
    </w:p>
    <w:tbl>
      <w:tblPr>
        <w:tblW w:w="6660" w:type="dxa"/>
        <w:tblInd w:w="145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2"/>
        <w:gridCol w:w="1800"/>
        <w:gridCol w:w="1440"/>
        <w:gridCol w:w="1798"/>
      </w:tblGrid>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1255" w:rsidRDefault="001F1255">
            <w:pPr>
              <w:rPr>
                <w:rFonts w:cs="Arial"/>
                <w:szCs w:val="20"/>
              </w:rPr>
            </w:pPr>
          </w:p>
          <w:p w:rsidR="001F1255" w:rsidRDefault="00770F49">
            <w:pPr>
              <w:rPr>
                <w:rFonts w:cs="Arial"/>
                <w:szCs w:val="20"/>
              </w:rPr>
            </w:pPr>
            <w:r>
              <w:rPr>
                <w:rFonts w:cs="Arial"/>
                <w:szCs w:val="20"/>
              </w:rPr>
              <w:t>Year Assessed</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1255" w:rsidRDefault="00770F49">
            <w:pPr>
              <w:jc w:val="center"/>
              <w:rPr>
                <w:rFonts w:cs="Arial"/>
                <w:szCs w:val="20"/>
              </w:rPr>
            </w:pPr>
            <w:r>
              <w:rPr>
                <w:rFonts w:cs="Arial"/>
                <w:szCs w:val="20"/>
              </w:rPr>
              <w:t>Assessed Cost</w:t>
            </w:r>
          </w:p>
          <w:p w:rsidR="001F1255" w:rsidRDefault="00770F49">
            <w:pPr>
              <w:jc w:val="center"/>
              <w:rPr>
                <w:rFonts w:cs="Arial"/>
                <w:szCs w:val="20"/>
              </w:rPr>
            </w:pPr>
            <w:r>
              <w:rPr>
                <w:rFonts w:cs="Arial"/>
                <w:szCs w:val="20"/>
              </w:rPr>
              <w:t>Of Audit</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1255" w:rsidRDefault="001F1255">
            <w:pPr>
              <w:rPr>
                <w:rFonts w:cs="Arial"/>
                <w:szCs w:val="20"/>
              </w:rPr>
            </w:pPr>
          </w:p>
          <w:p w:rsidR="001F1255" w:rsidRDefault="00770F49">
            <w:pPr>
              <w:jc w:val="center"/>
              <w:rPr>
                <w:rFonts w:cs="Arial"/>
                <w:szCs w:val="20"/>
              </w:rPr>
            </w:pPr>
            <w:r>
              <w:rPr>
                <w:rFonts w:cs="Arial"/>
                <w:szCs w:val="20"/>
              </w:rPr>
              <w:t>Payments</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1255" w:rsidRDefault="001F1255">
            <w:pPr>
              <w:rPr>
                <w:rFonts w:cs="Arial"/>
                <w:szCs w:val="20"/>
              </w:rPr>
            </w:pPr>
          </w:p>
          <w:p w:rsidR="001F1255" w:rsidRDefault="00770F49">
            <w:pPr>
              <w:jc w:val="center"/>
              <w:rPr>
                <w:rFonts w:cs="Arial"/>
                <w:szCs w:val="20"/>
              </w:rPr>
            </w:pPr>
            <w:r>
              <w:rPr>
                <w:rFonts w:cs="Arial"/>
                <w:szCs w:val="20"/>
              </w:rPr>
              <w:t>Balance</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1990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318,313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318,313</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1991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222,816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222,816</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1992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1,135,594</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1,135,594</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1994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435,311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435,311</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1995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534,519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534,519</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1996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585,885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585,885</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1997</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871,741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300,000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571,741</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1998</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907,349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907,349</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1999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1,005,580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1,005,580</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2000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1,033,363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1,033,363</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2001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1,339,699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1,339,699</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2002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1,598,518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1,598,518</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2003</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1,596,126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1,596,126</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2004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1,608,262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1,608,262</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2005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1,496,663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1,496,663</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2006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1,540,248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800,000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740,248</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2007</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1,568,303</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1,568,303</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2008</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1,758,610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1,758,610</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2009</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1,545,466</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1,545,466</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2010</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2,069,489</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1,000,000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1,069,489</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2011</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2,455,240</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2,455,240</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2012</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2,786,615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600,000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2,186,615</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2013</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2,806,675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2,806,675</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center"/>
              <w:rPr>
                <w:rFonts w:cs="Arial"/>
                <w:szCs w:val="20"/>
              </w:rPr>
            </w:pPr>
            <w:r>
              <w:rPr>
                <w:rFonts w:cs="Arial"/>
                <w:szCs w:val="20"/>
              </w:rPr>
              <w:t>2014</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2,814,931</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2,814,931</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1255" w:rsidRDefault="00770F49">
            <w:pPr>
              <w:jc w:val="center"/>
              <w:rPr>
                <w:rFonts w:cs="Arial"/>
                <w:szCs w:val="20"/>
              </w:rPr>
            </w:pPr>
            <w:r>
              <w:rPr>
                <w:rFonts w:cs="Arial"/>
                <w:szCs w:val="20"/>
              </w:rPr>
              <w:t>2015</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2,008,942</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2,008,942</w:t>
            </w:r>
          </w:p>
        </w:tc>
      </w:tr>
      <w:tr w:rsidR="001F1255">
        <w:tc>
          <w:tcPr>
            <w:tcW w:w="16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1255" w:rsidRDefault="00770F49">
            <w:pPr>
              <w:jc w:val="center"/>
              <w:rPr>
                <w:rFonts w:cs="Arial"/>
                <w:szCs w:val="20"/>
              </w:rPr>
            </w:pPr>
            <w:r>
              <w:rPr>
                <w:rFonts w:cs="Arial"/>
                <w:szCs w:val="20"/>
              </w:rPr>
              <w:t>2016</w:t>
            </w:r>
          </w:p>
        </w:tc>
        <w:tc>
          <w:tcPr>
            <w:tcW w:w="18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2,426,538</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0</w:t>
            </w:r>
          </w:p>
        </w:tc>
        <w:tc>
          <w:tcPr>
            <w:tcW w:w="17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1F1255" w:rsidRDefault="00770F49">
            <w:pPr>
              <w:jc w:val="right"/>
              <w:rPr>
                <w:rFonts w:cs="Arial"/>
                <w:szCs w:val="20"/>
              </w:rPr>
            </w:pPr>
            <w:r>
              <w:rPr>
                <w:rFonts w:cs="Arial"/>
                <w:szCs w:val="20"/>
              </w:rPr>
              <w:t>2,426,538</w:t>
            </w:r>
          </w:p>
        </w:tc>
      </w:tr>
      <w:tr w:rsidR="001F1255">
        <w:tc>
          <w:tcPr>
            <w:tcW w:w="1621" w:type="dxa"/>
            <w:tcBorders>
              <w:top w:val="single" w:sz="4" w:space="0" w:color="00000A"/>
              <w:left w:val="single" w:sz="4" w:space="0" w:color="00000A"/>
              <w:bottom w:val="double" w:sz="4" w:space="0" w:color="00000A"/>
              <w:right w:val="single" w:sz="4" w:space="0" w:color="00000A"/>
            </w:tcBorders>
            <w:shd w:val="clear" w:color="auto" w:fill="auto"/>
            <w:tcMar>
              <w:left w:w="103" w:type="dxa"/>
            </w:tcMar>
          </w:tcPr>
          <w:p w:rsidR="001F1255" w:rsidRDefault="00770F49">
            <w:pPr>
              <w:jc w:val="center"/>
              <w:rPr>
                <w:rFonts w:cs="Arial"/>
                <w:szCs w:val="20"/>
              </w:rPr>
            </w:pPr>
            <w:r>
              <w:rPr>
                <w:rFonts w:cs="Arial"/>
                <w:szCs w:val="20"/>
              </w:rPr>
              <w:t>Totals</w:t>
            </w:r>
          </w:p>
        </w:tc>
        <w:tc>
          <w:tcPr>
            <w:tcW w:w="1800"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bottom"/>
          </w:tcPr>
          <w:p w:rsidR="001F1255" w:rsidRDefault="00770F49">
            <w:pPr>
              <w:jc w:val="right"/>
              <w:rPr>
                <w:rFonts w:cs="Arial"/>
                <w:b/>
                <w:szCs w:val="20"/>
              </w:rPr>
            </w:pPr>
            <w:r>
              <w:rPr>
                <w:rFonts w:cs="Arial"/>
                <w:b/>
                <w:szCs w:val="20"/>
              </w:rPr>
              <w:t>38,470,796</w:t>
            </w:r>
          </w:p>
        </w:tc>
        <w:tc>
          <w:tcPr>
            <w:tcW w:w="1440"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bottom"/>
          </w:tcPr>
          <w:p w:rsidR="001F1255" w:rsidRDefault="00770F49">
            <w:pPr>
              <w:jc w:val="right"/>
              <w:rPr>
                <w:rFonts w:cs="Arial"/>
                <w:b/>
                <w:szCs w:val="20"/>
              </w:rPr>
            </w:pPr>
            <w:r>
              <w:rPr>
                <w:rFonts w:cs="Arial"/>
                <w:b/>
                <w:szCs w:val="20"/>
              </w:rPr>
              <w:t>2,700,000</w:t>
            </w:r>
          </w:p>
        </w:tc>
        <w:tc>
          <w:tcPr>
            <w:tcW w:w="1798" w:type="dxa"/>
            <w:tcBorders>
              <w:top w:val="single" w:sz="4" w:space="0" w:color="00000A"/>
              <w:left w:val="single" w:sz="4" w:space="0" w:color="00000A"/>
              <w:bottom w:val="double" w:sz="4" w:space="0" w:color="00000A"/>
              <w:right w:val="single" w:sz="4" w:space="0" w:color="00000A"/>
            </w:tcBorders>
            <w:shd w:val="clear" w:color="auto" w:fill="auto"/>
            <w:tcMar>
              <w:left w:w="103" w:type="dxa"/>
            </w:tcMar>
            <w:vAlign w:val="bottom"/>
          </w:tcPr>
          <w:p w:rsidR="001F1255" w:rsidRDefault="00770F49">
            <w:pPr>
              <w:jc w:val="right"/>
              <w:rPr>
                <w:rFonts w:cs="Arial"/>
                <w:b/>
                <w:szCs w:val="20"/>
              </w:rPr>
            </w:pPr>
            <w:r>
              <w:rPr>
                <w:rFonts w:cs="Arial"/>
                <w:b/>
                <w:szCs w:val="20"/>
              </w:rPr>
              <w:t>35,770,796</w:t>
            </w:r>
          </w:p>
        </w:tc>
      </w:tr>
    </w:tbl>
    <w:p w:rsidR="001F1255" w:rsidRDefault="001F1255">
      <w:pPr>
        <w:rPr>
          <w:rFonts w:cs="Arial"/>
          <w:sz w:val="22"/>
        </w:rPr>
      </w:pPr>
    </w:p>
    <w:p w:rsidR="001F1255" w:rsidRDefault="00770F49">
      <w:pPr>
        <w:ind w:left="1350" w:hanging="90"/>
        <w:rPr>
          <w:rFonts w:cs="Arial"/>
          <w:b/>
          <w:bCs/>
          <w:sz w:val="22"/>
          <w:szCs w:val="22"/>
          <w:u w:val="single"/>
        </w:rPr>
      </w:pPr>
      <w:r>
        <w:rPr>
          <w:rFonts w:cs="Arial"/>
          <w:b/>
          <w:bCs/>
          <w:sz w:val="22"/>
          <w:szCs w:val="22"/>
        </w:rPr>
        <w:t xml:space="preserve"> </w:t>
      </w:r>
      <w:r>
        <w:rPr>
          <w:rFonts w:cs="Arial"/>
          <w:b/>
          <w:bCs/>
          <w:sz w:val="22"/>
          <w:szCs w:val="22"/>
          <w:u w:val="single"/>
        </w:rPr>
        <w:t>OGCC</w:t>
      </w:r>
    </w:p>
    <w:p w:rsidR="001F1255" w:rsidRDefault="001F1255">
      <w:pPr>
        <w:rPr>
          <w:rFonts w:cs="Arial"/>
          <w:sz w:val="22"/>
        </w:rPr>
      </w:pPr>
    </w:p>
    <w:tbl>
      <w:tblPr>
        <w:tblStyle w:val="TableGrid"/>
        <w:tblW w:w="6660" w:type="dxa"/>
        <w:tblInd w:w="1453" w:type="dxa"/>
        <w:tblCellMar>
          <w:left w:w="103" w:type="dxa"/>
        </w:tblCellMar>
        <w:tblLook w:val="04A0" w:firstRow="1" w:lastRow="0" w:firstColumn="1" w:lastColumn="0" w:noHBand="0" w:noVBand="1"/>
      </w:tblPr>
      <w:tblGrid>
        <w:gridCol w:w="3781"/>
        <w:gridCol w:w="2879"/>
      </w:tblGrid>
      <w:tr w:rsidR="001F1255">
        <w:tc>
          <w:tcPr>
            <w:tcW w:w="3780" w:type="dxa"/>
            <w:shd w:val="clear" w:color="auto" w:fill="auto"/>
            <w:tcMar>
              <w:left w:w="103" w:type="dxa"/>
            </w:tcMar>
          </w:tcPr>
          <w:p w:rsidR="001F1255" w:rsidRDefault="00770F49">
            <w:pPr>
              <w:ind w:left="-60" w:firstLine="60"/>
              <w:rPr>
                <w:rFonts w:cs="Arial"/>
                <w:bCs/>
                <w:szCs w:val="20"/>
              </w:rPr>
            </w:pPr>
            <w:r>
              <w:rPr>
                <w:rFonts w:cs="Arial"/>
                <w:bCs/>
                <w:szCs w:val="20"/>
              </w:rPr>
              <w:t>Beg. Balance, Jan.1 2004</w:t>
            </w:r>
          </w:p>
        </w:tc>
        <w:tc>
          <w:tcPr>
            <w:tcW w:w="2879" w:type="dxa"/>
            <w:shd w:val="clear" w:color="auto" w:fill="auto"/>
            <w:tcMar>
              <w:left w:w="103" w:type="dxa"/>
            </w:tcMar>
            <w:vAlign w:val="center"/>
          </w:tcPr>
          <w:p w:rsidR="001F1255" w:rsidRDefault="00770F49">
            <w:pPr>
              <w:jc w:val="right"/>
              <w:rPr>
                <w:rFonts w:cs="Arial"/>
                <w:bCs/>
                <w:szCs w:val="20"/>
              </w:rPr>
            </w:pPr>
            <w:r>
              <w:rPr>
                <w:rFonts w:cs="Arial"/>
                <w:bCs/>
                <w:szCs w:val="20"/>
              </w:rPr>
              <w:t>2,525,000</w:t>
            </w:r>
          </w:p>
        </w:tc>
      </w:tr>
      <w:tr w:rsidR="001F1255">
        <w:tc>
          <w:tcPr>
            <w:tcW w:w="3780" w:type="dxa"/>
            <w:shd w:val="clear" w:color="auto" w:fill="auto"/>
            <w:tcMar>
              <w:left w:w="103" w:type="dxa"/>
            </w:tcMar>
          </w:tcPr>
          <w:p w:rsidR="001F1255" w:rsidRDefault="00770F49">
            <w:pPr>
              <w:rPr>
                <w:rFonts w:cs="Arial"/>
                <w:bCs/>
                <w:szCs w:val="20"/>
              </w:rPr>
            </w:pPr>
            <w:r>
              <w:rPr>
                <w:rFonts w:cs="Arial"/>
                <w:bCs/>
                <w:szCs w:val="20"/>
              </w:rPr>
              <w:t>Accruals (2005-2007)</w:t>
            </w:r>
          </w:p>
        </w:tc>
        <w:tc>
          <w:tcPr>
            <w:tcW w:w="2879" w:type="dxa"/>
            <w:shd w:val="clear" w:color="auto" w:fill="auto"/>
            <w:tcMar>
              <w:left w:w="103" w:type="dxa"/>
            </w:tcMar>
            <w:vAlign w:val="center"/>
          </w:tcPr>
          <w:p w:rsidR="001F1255" w:rsidRDefault="00770F49">
            <w:pPr>
              <w:jc w:val="right"/>
              <w:rPr>
                <w:rFonts w:cs="Arial"/>
                <w:bCs/>
                <w:szCs w:val="20"/>
              </w:rPr>
            </w:pPr>
            <w:r>
              <w:rPr>
                <w:rFonts w:cs="Arial"/>
                <w:bCs/>
                <w:szCs w:val="20"/>
              </w:rPr>
              <w:t>625,000</w:t>
            </w:r>
          </w:p>
        </w:tc>
      </w:tr>
      <w:tr w:rsidR="001F1255">
        <w:tc>
          <w:tcPr>
            <w:tcW w:w="3780" w:type="dxa"/>
            <w:shd w:val="clear" w:color="auto" w:fill="auto"/>
            <w:tcMar>
              <w:left w:w="103" w:type="dxa"/>
            </w:tcMar>
          </w:tcPr>
          <w:p w:rsidR="001F1255" w:rsidRDefault="00770F49">
            <w:pPr>
              <w:rPr>
                <w:rFonts w:cs="Arial"/>
                <w:bCs/>
                <w:szCs w:val="20"/>
              </w:rPr>
            </w:pPr>
            <w:r>
              <w:rPr>
                <w:rFonts w:cs="Arial"/>
                <w:bCs/>
                <w:szCs w:val="20"/>
              </w:rPr>
              <w:t>Accruals (2007-2013)</w:t>
            </w:r>
          </w:p>
        </w:tc>
        <w:tc>
          <w:tcPr>
            <w:tcW w:w="2879" w:type="dxa"/>
            <w:shd w:val="clear" w:color="auto" w:fill="auto"/>
            <w:tcMar>
              <w:left w:w="103" w:type="dxa"/>
            </w:tcMar>
            <w:vAlign w:val="center"/>
          </w:tcPr>
          <w:p w:rsidR="001F1255" w:rsidRDefault="00770F49">
            <w:pPr>
              <w:jc w:val="right"/>
              <w:rPr>
                <w:rFonts w:cs="Arial"/>
                <w:bCs/>
                <w:szCs w:val="20"/>
              </w:rPr>
            </w:pPr>
            <w:r>
              <w:rPr>
                <w:rFonts w:cs="Arial"/>
                <w:bCs/>
                <w:szCs w:val="20"/>
              </w:rPr>
              <w:t>290,000</w:t>
            </w:r>
          </w:p>
        </w:tc>
      </w:tr>
      <w:tr w:rsidR="001F1255">
        <w:tc>
          <w:tcPr>
            <w:tcW w:w="3780" w:type="dxa"/>
            <w:shd w:val="clear" w:color="auto" w:fill="auto"/>
            <w:tcMar>
              <w:left w:w="103" w:type="dxa"/>
            </w:tcMar>
          </w:tcPr>
          <w:p w:rsidR="001F1255" w:rsidRDefault="00770F49">
            <w:pPr>
              <w:rPr>
                <w:rFonts w:cs="Arial"/>
                <w:bCs/>
                <w:szCs w:val="20"/>
              </w:rPr>
            </w:pPr>
            <w:r>
              <w:rPr>
                <w:rFonts w:cs="Arial"/>
                <w:bCs/>
                <w:szCs w:val="20"/>
              </w:rPr>
              <w:t>Payments(2006-2013)</w:t>
            </w:r>
          </w:p>
        </w:tc>
        <w:tc>
          <w:tcPr>
            <w:tcW w:w="2879" w:type="dxa"/>
            <w:shd w:val="clear" w:color="auto" w:fill="auto"/>
            <w:tcMar>
              <w:left w:w="103" w:type="dxa"/>
            </w:tcMar>
            <w:vAlign w:val="center"/>
          </w:tcPr>
          <w:p w:rsidR="001F1255" w:rsidRDefault="00770F49">
            <w:pPr>
              <w:jc w:val="right"/>
              <w:rPr>
                <w:rFonts w:cs="Arial"/>
                <w:bCs/>
                <w:szCs w:val="20"/>
              </w:rPr>
            </w:pPr>
            <w:r>
              <w:rPr>
                <w:rFonts w:cs="Arial"/>
                <w:bCs/>
                <w:szCs w:val="20"/>
              </w:rPr>
              <w:t>(1,056,500)</w:t>
            </w:r>
          </w:p>
        </w:tc>
      </w:tr>
      <w:tr w:rsidR="001F1255">
        <w:trPr>
          <w:trHeight w:val="357"/>
        </w:trPr>
        <w:tc>
          <w:tcPr>
            <w:tcW w:w="3780" w:type="dxa"/>
            <w:tcBorders>
              <w:bottom w:val="double" w:sz="4" w:space="0" w:color="00000A"/>
            </w:tcBorders>
            <w:shd w:val="clear" w:color="auto" w:fill="auto"/>
            <w:tcMar>
              <w:left w:w="103" w:type="dxa"/>
            </w:tcMar>
            <w:vAlign w:val="center"/>
          </w:tcPr>
          <w:p w:rsidR="001F1255" w:rsidRDefault="00770F49">
            <w:pPr>
              <w:jc w:val="left"/>
              <w:rPr>
                <w:rFonts w:cs="Arial"/>
                <w:bCs/>
                <w:szCs w:val="20"/>
              </w:rPr>
            </w:pPr>
            <w:r>
              <w:rPr>
                <w:rFonts w:cs="Arial"/>
                <w:bCs/>
                <w:szCs w:val="20"/>
              </w:rPr>
              <w:t>Ending Balance, 12/31/2013</w:t>
            </w:r>
          </w:p>
        </w:tc>
        <w:tc>
          <w:tcPr>
            <w:tcW w:w="2879" w:type="dxa"/>
            <w:tcBorders>
              <w:bottom w:val="double" w:sz="4" w:space="0" w:color="00000A"/>
            </w:tcBorders>
            <w:shd w:val="clear" w:color="auto" w:fill="auto"/>
            <w:tcMar>
              <w:left w:w="103" w:type="dxa"/>
            </w:tcMar>
            <w:vAlign w:val="center"/>
          </w:tcPr>
          <w:p w:rsidR="001F1255" w:rsidRDefault="00770F49">
            <w:pPr>
              <w:jc w:val="right"/>
              <w:rPr>
                <w:rFonts w:cs="Arial"/>
                <w:b/>
                <w:bCs/>
                <w:szCs w:val="20"/>
              </w:rPr>
            </w:pPr>
            <w:r>
              <w:rPr>
                <w:rFonts w:cs="Arial"/>
                <w:b/>
                <w:bCs/>
                <w:szCs w:val="20"/>
              </w:rPr>
              <w:t>2,383,500</w:t>
            </w:r>
          </w:p>
        </w:tc>
      </w:tr>
    </w:tbl>
    <w:p w:rsidR="001F1255" w:rsidRDefault="001F1255">
      <w:pPr>
        <w:rPr>
          <w:rFonts w:cs="Arial"/>
          <w:sz w:val="22"/>
          <w:szCs w:val="22"/>
        </w:rPr>
      </w:pPr>
    </w:p>
    <w:p w:rsidR="001F1255" w:rsidRDefault="00770F49">
      <w:pPr>
        <w:ind w:left="360"/>
        <w:rPr>
          <w:rFonts w:cs="Arial"/>
          <w:sz w:val="22"/>
        </w:rPr>
      </w:pPr>
      <w:r>
        <w:rPr>
          <w:rFonts w:cs="Arial"/>
          <w:sz w:val="22"/>
        </w:rPr>
        <w:t>We recommended that Management:</w:t>
      </w:r>
    </w:p>
    <w:p w:rsidR="001F1255" w:rsidRDefault="001F1255">
      <w:pPr>
        <w:rPr>
          <w:rFonts w:cs="Arial"/>
          <w:sz w:val="22"/>
        </w:rPr>
      </w:pPr>
    </w:p>
    <w:p w:rsidR="001F1255" w:rsidRDefault="00770F49">
      <w:pPr>
        <w:pStyle w:val="ListParagraph"/>
        <w:numPr>
          <w:ilvl w:val="0"/>
          <w:numId w:val="1"/>
        </w:numPr>
        <w:rPr>
          <w:rFonts w:cs="Arial"/>
          <w:sz w:val="22"/>
        </w:rPr>
      </w:pPr>
      <w:r>
        <w:rPr>
          <w:rFonts w:cs="Arial"/>
          <w:sz w:val="22"/>
        </w:rPr>
        <w:t>Validate the COA PFMS cost of audit summary to determine if there are any unrecorded payments made by PADC or any other inconsistencies therein so that the amounts can be reconciled;</w:t>
      </w:r>
    </w:p>
    <w:p w:rsidR="001F1255" w:rsidRDefault="001F1255">
      <w:pPr>
        <w:pStyle w:val="ListParagraph"/>
        <w:ind w:left="1080"/>
        <w:rPr>
          <w:rFonts w:cs="Arial"/>
          <w:sz w:val="16"/>
          <w:szCs w:val="16"/>
        </w:rPr>
      </w:pPr>
    </w:p>
    <w:p w:rsidR="001F1255" w:rsidRDefault="00770F49">
      <w:pPr>
        <w:pStyle w:val="ListParagraph"/>
        <w:numPr>
          <w:ilvl w:val="0"/>
          <w:numId w:val="1"/>
        </w:numPr>
        <w:rPr>
          <w:rFonts w:cs="Arial"/>
          <w:sz w:val="22"/>
        </w:rPr>
      </w:pPr>
      <w:r>
        <w:rPr>
          <w:rFonts w:cs="Arial"/>
          <w:sz w:val="22"/>
        </w:rPr>
        <w:t xml:space="preserve">Recognize in the books of accounts the accrued cost of audit and legal services; and </w:t>
      </w:r>
    </w:p>
    <w:p w:rsidR="001F1255" w:rsidRDefault="001F1255">
      <w:pPr>
        <w:pStyle w:val="ListParagraph"/>
        <w:ind w:left="1080"/>
        <w:rPr>
          <w:rFonts w:cs="Arial"/>
          <w:sz w:val="16"/>
          <w:szCs w:val="16"/>
        </w:rPr>
      </w:pPr>
    </w:p>
    <w:p w:rsidR="001F1255" w:rsidRDefault="00770F49">
      <w:pPr>
        <w:pStyle w:val="ListParagraph"/>
        <w:numPr>
          <w:ilvl w:val="0"/>
          <w:numId w:val="1"/>
        </w:numPr>
        <w:rPr>
          <w:rFonts w:cs="Arial"/>
          <w:sz w:val="22"/>
        </w:rPr>
      </w:pPr>
      <w:r>
        <w:rPr>
          <w:rFonts w:cs="Arial"/>
          <w:sz w:val="22"/>
        </w:rPr>
        <w:t>Make periodic payments to COA and OGCC.</w:t>
      </w:r>
    </w:p>
    <w:p w:rsidR="001F1255" w:rsidRDefault="001F1255">
      <w:pPr>
        <w:ind w:left="720" w:hanging="360"/>
        <w:rPr>
          <w:rFonts w:cs="Arial"/>
          <w:sz w:val="22"/>
          <w:szCs w:val="22"/>
        </w:rPr>
      </w:pPr>
    </w:p>
    <w:p w:rsidR="001F1255" w:rsidRDefault="001F1255">
      <w:pPr>
        <w:ind w:left="720" w:hanging="360"/>
        <w:rPr>
          <w:rFonts w:cs="Arial"/>
          <w:sz w:val="22"/>
          <w:szCs w:val="22"/>
        </w:rPr>
      </w:pPr>
    </w:p>
    <w:p w:rsidR="001F1255" w:rsidRDefault="00770F49">
      <w:pPr>
        <w:ind w:left="270" w:hanging="360"/>
        <w:rPr>
          <w:rFonts w:cs="Arial"/>
          <w:b/>
          <w:sz w:val="22"/>
          <w:szCs w:val="22"/>
        </w:rPr>
      </w:pPr>
      <w:r>
        <w:rPr>
          <w:rFonts w:cs="Arial"/>
          <w:b/>
          <w:sz w:val="22"/>
          <w:szCs w:val="22"/>
        </w:rPr>
        <w:lastRenderedPageBreak/>
        <w:t>6.</w:t>
      </w:r>
      <w:r>
        <w:rPr>
          <w:rFonts w:cs="Arial"/>
          <w:b/>
          <w:sz w:val="22"/>
          <w:szCs w:val="22"/>
        </w:rPr>
        <w:tab/>
        <w:t>The Corporation has yet to remit to the National Government (NG) about P11.049 million in dividends for past and current years’ earnings as required by Republic Act No. 7656.</w:t>
      </w:r>
    </w:p>
    <w:p w:rsidR="001F1255" w:rsidRDefault="001F1255">
      <w:pPr>
        <w:ind w:left="720" w:hanging="360"/>
        <w:rPr>
          <w:rFonts w:cs="Arial"/>
          <w:sz w:val="22"/>
          <w:szCs w:val="22"/>
        </w:rPr>
      </w:pPr>
    </w:p>
    <w:p w:rsidR="001F1255" w:rsidRDefault="00770F49">
      <w:pPr>
        <w:ind w:left="270"/>
        <w:rPr>
          <w:rFonts w:cs="Arial"/>
          <w:bCs/>
          <w:sz w:val="22"/>
          <w:szCs w:val="22"/>
        </w:rPr>
      </w:pPr>
      <w:r>
        <w:rPr>
          <w:rFonts w:cs="Arial"/>
          <w:bCs/>
          <w:sz w:val="22"/>
          <w:szCs w:val="22"/>
        </w:rPr>
        <w:t>Section 3 of RA 7656, the “Act Requiring Government-Owned and/or Controlled Corporations to Declare Dividends, Under Certain Conditions to the National Government, and For Other Purposes”, requires that all government-owned or controlled corporations declare and remit at least fifty percent (50%) of their annual net earnings as cash, stock or property dividends to the National Government.</w:t>
      </w:r>
    </w:p>
    <w:p w:rsidR="001F1255" w:rsidRDefault="001F1255">
      <w:pPr>
        <w:ind w:left="270"/>
        <w:rPr>
          <w:rFonts w:cs="Arial"/>
          <w:bCs/>
          <w:sz w:val="22"/>
          <w:szCs w:val="22"/>
        </w:rPr>
      </w:pPr>
    </w:p>
    <w:p w:rsidR="001F1255" w:rsidRDefault="00770F49">
      <w:pPr>
        <w:ind w:left="270"/>
        <w:rPr>
          <w:rFonts w:cs="Arial"/>
          <w:bCs/>
          <w:sz w:val="22"/>
          <w:szCs w:val="22"/>
        </w:rPr>
      </w:pPr>
      <w:r>
        <w:rPr>
          <w:rFonts w:cs="Arial"/>
          <w:bCs/>
          <w:sz w:val="22"/>
          <w:szCs w:val="22"/>
        </w:rPr>
        <w:t>We have noted that the Corporation has not remitted to the NG dividends pertaining to net income for the following years:</w:t>
      </w:r>
    </w:p>
    <w:p w:rsidR="001F1255" w:rsidRDefault="001F1255">
      <w:pPr>
        <w:ind w:left="270"/>
        <w:rPr>
          <w:rFonts w:cs="Arial"/>
          <w:bCs/>
          <w:sz w:val="16"/>
          <w:szCs w:val="16"/>
        </w:rPr>
      </w:pPr>
    </w:p>
    <w:p w:rsidR="001F1255" w:rsidRDefault="001F1255">
      <w:pPr>
        <w:ind w:left="270"/>
        <w:rPr>
          <w:rFonts w:cs="Arial"/>
          <w:bCs/>
          <w:sz w:val="16"/>
          <w:szCs w:val="16"/>
        </w:rPr>
      </w:pPr>
    </w:p>
    <w:tbl>
      <w:tblPr>
        <w:tblStyle w:val="TableGrid"/>
        <w:tblW w:w="7515" w:type="dxa"/>
        <w:tblInd w:w="1267" w:type="dxa"/>
        <w:tblCellMar>
          <w:left w:w="103" w:type="dxa"/>
        </w:tblCellMar>
        <w:tblLook w:val="04A0" w:firstRow="1" w:lastRow="0" w:firstColumn="1" w:lastColumn="0" w:noHBand="0" w:noVBand="1"/>
      </w:tblPr>
      <w:tblGrid>
        <w:gridCol w:w="1107"/>
        <w:gridCol w:w="1327"/>
        <w:gridCol w:w="1381"/>
        <w:gridCol w:w="1092"/>
        <w:gridCol w:w="1258"/>
        <w:gridCol w:w="1350"/>
      </w:tblGrid>
      <w:tr w:rsidR="001F1255">
        <w:tc>
          <w:tcPr>
            <w:tcW w:w="1108" w:type="dxa"/>
            <w:shd w:val="clear" w:color="auto" w:fill="auto"/>
            <w:tcMar>
              <w:left w:w="103" w:type="dxa"/>
            </w:tcMar>
            <w:vAlign w:val="center"/>
          </w:tcPr>
          <w:p w:rsidR="001F1255" w:rsidRDefault="00770F49">
            <w:pPr>
              <w:jc w:val="center"/>
              <w:rPr>
                <w:rFonts w:cs="Arial"/>
                <w:bCs/>
                <w:sz w:val="22"/>
                <w:szCs w:val="22"/>
              </w:rPr>
            </w:pPr>
            <w:r>
              <w:rPr>
                <w:rFonts w:cs="Arial"/>
                <w:bCs/>
                <w:sz w:val="22"/>
                <w:szCs w:val="22"/>
              </w:rPr>
              <w:t>Calendar Year</w:t>
            </w:r>
          </w:p>
        </w:tc>
        <w:tc>
          <w:tcPr>
            <w:tcW w:w="1334" w:type="dxa"/>
            <w:shd w:val="clear" w:color="auto" w:fill="auto"/>
            <w:tcMar>
              <w:left w:w="103" w:type="dxa"/>
            </w:tcMar>
            <w:vAlign w:val="center"/>
          </w:tcPr>
          <w:p w:rsidR="001F1255" w:rsidRDefault="00770F49">
            <w:pPr>
              <w:jc w:val="center"/>
              <w:rPr>
                <w:rFonts w:cs="Arial"/>
                <w:bCs/>
                <w:sz w:val="22"/>
                <w:szCs w:val="22"/>
              </w:rPr>
            </w:pPr>
            <w:r>
              <w:rPr>
                <w:rFonts w:cs="Arial"/>
                <w:bCs/>
                <w:sz w:val="22"/>
                <w:szCs w:val="22"/>
              </w:rPr>
              <w:t>Net Income</w:t>
            </w:r>
          </w:p>
        </w:tc>
        <w:tc>
          <w:tcPr>
            <w:tcW w:w="1413" w:type="dxa"/>
            <w:shd w:val="clear" w:color="auto" w:fill="auto"/>
            <w:tcMar>
              <w:left w:w="103" w:type="dxa"/>
            </w:tcMar>
          </w:tcPr>
          <w:p w:rsidR="001F1255" w:rsidRDefault="00770F49">
            <w:pPr>
              <w:jc w:val="center"/>
              <w:rPr>
                <w:rFonts w:cs="Arial"/>
                <w:bCs/>
                <w:sz w:val="22"/>
                <w:szCs w:val="22"/>
              </w:rPr>
            </w:pPr>
            <w:r>
              <w:rPr>
                <w:rFonts w:cs="Arial"/>
                <w:bCs/>
                <w:sz w:val="22"/>
                <w:szCs w:val="22"/>
              </w:rPr>
              <w:t>Dividends Due</w:t>
            </w:r>
          </w:p>
        </w:tc>
        <w:tc>
          <w:tcPr>
            <w:tcW w:w="1002" w:type="dxa"/>
            <w:shd w:val="clear" w:color="auto" w:fill="auto"/>
            <w:tcMar>
              <w:left w:w="103" w:type="dxa"/>
            </w:tcMar>
          </w:tcPr>
          <w:p w:rsidR="001F1255" w:rsidRDefault="00770F49">
            <w:pPr>
              <w:jc w:val="center"/>
              <w:rPr>
                <w:rFonts w:cs="Arial"/>
                <w:bCs/>
                <w:sz w:val="22"/>
                <w:szCs w:val="22"/>
              </w:rPr>
            </w:pPr>
            <w:r>
              <w:rPr>
                <w:rFonts w:cs="Arial"/>
                <w:bCs/>
                <w:sz w:val="22"/>
                <w:szCs w:val="22"/>
              </w:rPr>
              <w:t>Year Remitted</w:t>
            </w:r>
          </w:p>
        </w:tc>
        <w:tc>
          <w:tcPr>
            <w:tcW w:w="1290" w:type="dxa"/>
            <w:shd w:val="clear" w:color="auto" w:fill="auto"/>
            <w:tcMar>
              <w:left w:w="103" w:type="dxa"/>
            </w:tcMar>
            <w:vAlign w:val="center"/>
          </w:tcPr>
          <w:p w:rsidR="001F1255" w:rsidRDefault="00770F49">
            <w:pPr>
              <w:jc w:val="center"/>
              <w:rPr>
                <w:rFonts w:cs="Arial"/>
                <w:bCs/>
                <w:sz w:val="22"/>
                <w:szCs w:val="22"/>
              </w:rPr>
            </w:pPr>
            <w:r>
              <w:rPr>
                <w:rFonts w:cs="Arial"/>
                <w:bCs/>
                <w:sz w:val="22"/>
                <w:szCs w:val="22"/>
              </w:rPr>
              <w:t>Remitted Amount</w:t>
            </w:r>
          </w:p>
        </w:tc>
        <w:tc>
          <w:tcPr>
            <w:tcW w:w="1368" w:type="dxa"/>
            <w:shd w:val="clear" w:color="auto" w:fill="auto"/>
            <w:tcMar>
              <w:left w:w="103" w:type="dxa"/>
            </w:tcMar>
            <w:vAlign w:val="center"/>
          </w:tcPr>
          <w:p w:rsidR="001F1255" w:rsidRDefault="00770F49">
            <w:pPr>
              <w:jc w:val="center"/>
              <w:rPr>
                <w:rFonts w:cs="Arial"/>
                <w:bCs/>
                <w:sz w:val="22"/>
                <w:szCs w:val="22"/>
              </w:rPr>
            </w:pPr>
            <w:r>
              <w:rPr>
                <w:rFonts w:cs="Arial"/>
                <w:bCs/>
                <w:sz w:val="22"/>
                <w:szCs w:val="22"/>
              </w:rPr>
              <w:t>Balance</w:t>
            </w:r>
          </w:p>
        </w:tc>
      </w:tr>
      <w:tr w:rsidR="001F1255">
        <w:tc>
          <w:tcPr>
            <w:tcW w:w="1108" w:type="dxa"/>
            <w:shd w:val="clear" w:color="auto" w:fill="auto"/>
            <w:tcMar>
              <w:left w:w="103" w:type="dxa"/>
            </w:tcMar>
            <w:vAlign w:val="center"/>
          </w:tcPr>
          <w:p w:rsidR="001F1255" w:rsidRDefault="00770F49">
            <w:pPr>
              <w:jc w:val="center"/>
              <w:rPr>
                <w:rFonts w:cs="Arial"/>
                <w:bCs/>
                <w:sz w:val="22"/>
                <w:szCs w:val="22"/>
              </w:rPr>
            </w:pPr>
            <w:r>
              <w:rPr>
                <w:rFonts w:cs="Arial"/>
                <w:bCs/>
                <w:sz w:val="22"/>
                <w:szCs w:val="22"/>
              </w:rPr>
              <w:t>2011</w:t>
            </w:r>
          </w:p>
        </w:tc>
        <w:tc>
          <w:tcPr>
            <w:tcW w:w="1334"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4,358,396</w:t>
            </w:r>
          </w:p>
        </w:tc>
        <w:tc>
          <w:tcPr>
            <w:tcW w:w="1413" w:type="dxa"/>
            <w:shd w:val="clear" w:color="auto" w:fill="auto"/>
            <w:tcMar>
              <w:left w:w="103" w:type="dxa"/>
            </w:tcMar>
          </w:tcPr>
          <w:p w:rsidR="001F1255" w:rsidRDefault="00770F49">
            <w:pPr>
              <w:jc w:val="right"/>
              <w:rPr>
                <w:rFonts w:cs="Arial"/>
                <w:bCs/>
                <w:sz w:val="22"/>
                <w:szCs w:val="22"/>
              </w:rPr>
            </w:pPr>
            <w:r>
              <w:rPr>
                <w:rFonts w:cs="Arial"/>
                <w:bCs/>
                <w:sz w:val="22"/>
                <w:szCs w:val="22"/>
              </w:rPr>
              <w:t>2,179,198</w:t>
            </w:r>
          </w:p>
        </w:tc>
        <w:tc>
          <w:tcPr>
            <w:tcW w:w="1002" w:type="dxa"/>
            <w:shd w:val="clear" w:color="auto" w:fill="auto"/>
            <w:tcMar>
              <w:left w:w="103" w:type="dxa"/>
            </w:tcMar>
          </w:tcPr>
          <w:p w:rsidR="001F1255" w:rsidRDefault="00770F49">
            <w:pPr>
              <w:jc w:val="center"/>
              <w:rPr>
                <w:rFonts w:cs="Arial"/>
                <w:bCs/>
                <w:sz w:val="22"/>
                <w:szCs w:val="22"/>
              </w:rPr>
            </w:pPr>
            <w:r>
              <w:rPr>
                <w:rFonts w:cs="Arial"/>
                <w:bCs/>
                <w:sz w:val="22"/>
                <w:szCs w:val="22"/>
              </w:rPr>
              <w:t>2013</w:t>
            </w:r>
          </w:p>
        </w:tc>
        <w:tc>
          <w:tcPr>
            <w:tcW w:w="1290"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2,000,000</w:t>
            </w:r>
          </w:p>
        </w:tc>
        <w:tc>
          <w:tcPr>
            <w:tcW w:w="1368"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179,198</w:t>
            </w:r>
          </w:p>
        </w:tc>
      </w:tr>
      <w:tr w:rsidR="001F1255">
        <w:tc>
          <w:tcPr>
            <w:tcW w:w="1108" w:type="dxa"/>
            <w:shd w:val="clear" w:color="auto" w:fill="auto"/>
            <w:tcMar>
              <w:left w:w="103" w:type="dxa"/>
            </w:tcMar>
            <w:vAlign w:val="center"/>
          </w:tcPr>
          <w:p w:rsidR="001F1255" w:rsidRDefault="00770F49">
            <w:pPr>
              <w:jc w:val="center"/>
              <w:rPr>
                <w:rFonts w:cs="Arial"/>
                <w:bCs/>
                <w:sz w:val="22"/>
                <w:szCs w:val="22"/>
              </w:rPr>
            </w:pPr>
            <w:r>
              <w:rPr>
                <w:rFonts w:cs="Arial"/>
                <w:bCs/>
                <w:sz w:val="22"/>
                <w:szCs w:val="22"/>
              </w:rPr>
              <w:t>2012</w:t>
            </w:r>
          </w:p>
        </w:tc>
        <w:tc>
          <w:tcPr>
            <w:tcW w:w="1334"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6,482,088</w:t>
            </w:r>
          </w:p>
        </w:tc>
        <w:tc>
          <w:tcPr>
            <w:tcW w:w="1413" w:type="dxa"/>
            <w:shd w:val="clear" w:color="auto" w:fill="auto"/>
            <w:tcMar>
              <w:left w:w="103" w:type="dxa"/>
            </w:tcMar>
          </w:tcPr>
          <w:p w:rsidR="001F1255" w:rsidRDefault="00770F49">
            <w:pPr>
              <w:jc w:val="right"/>
              <w:rPr>
                <w:rFonts w:cs="Arial"/>
                <w:bCs/>
                <w:sz w:val="22"/>
                <w:szCs w:val="22"/>
              </w:rPr>
            </w:pPr>
            <w:r>
              <w:rPr>
                <w:rFonts w:cs="Arial"/>
                <w:bCs/>
                <w:sz w:val="22"/>
                <w:szCs w:val="22"/>
              </w:rPr>
              <w:t>3,241,044</w:t>
            </w:r>
          </w:p>
        </w:tc>
        <w:tc>
          <w:tcPr>
            <w:tcW w:w="1002" w:type="dxa"/>
            <w:shd w:val="clear" w:color="auto" w:fill="auto"/>
            <w:tcMar>
              <w:left w:w="103" w:type="dxa"/>
            </w:tcMar>
          </w:tcPr>
          <w:p w:rsidR="001F1255" w:rsidRDefault="00770F49">
            <w:pPr>
              <w:jc w:val="center"/>
              <w:rPr>
                <w:rFonts w:cs="Arial"/>
                <w:bCs/>
                <w:sz w:val="22"/>
                <w:szCs w:val="22"/>
              </w:rPr>
            </w:pPr>
            <w:r>
              <w:rPr>
                <w:rFonts w:cs="Arial"/>
                <w:bCs/>
                <w:sz w:val="22"/>
                <w:szCs w:val="22"/>
              </w:rPr>
              <w:t>2014</w:t>
            </w:r>
          </w:p>
        </w:tc>
        <w:tc>
          <w:tcPr>
            <w:tcW w:w="1290"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3,000,000</w:t>
            </w:r>
          </w:p>
        </w:tc>
        <w:tc>
          <w:tcPr>
            <w:tcW w:w="1368"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241,044</w:t>
            </w:r>
          </w:p>
        </w:tc>
      </w:tr>
      <w:tr w:rsidR="001F1255">
        <w:tc>
          <w:tcPr>
            <w:tcW w:w="1108" w:type="dxa"/>
            <w:shd w:val="clear" w:color="auto" w:fill="auto"/>
            <w:tcMar>
              <w:left w:w="103" w:type="dxa"/>
            </w:tcMar>
            <w:vAlign w:val="center"/>
          </w:tcPr>
          <w:p w:rsidR="001F1255" w:rsidRDefault="00770F49">
            <w:pPr>
              <w:jc w:val="center"/>
              <w:rPr>
                <w:rFonts w:cs="Arial"/>
                <w:bCs/>
                <w:sz w:val="22"/>
                <w:szCs w:val="22"/>
              </w:rPr>
            </w:pPr>
            <w:r>
              <w:rPr>
                <w:rFonts w:cs="Arial"/>
                <w:bCs/>
                <w:sz w:val="22"/>
                <w:szCs w:val="22"/>
              </w:rPr>
              <w:t>2013</w:t>
            </w:r>
          </w:p>
        </w:tc>
        <w:tc>
          <w:tcPr>
            <w:tcW w:w="1334"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3,971,710</w:t>
            </w:r>
          </w:p>
        </w:tc>
        <w:tc>
          <w:tcPr>
            <w:tcW w:w="1413" w:type="dxa"/>
            <w:shd w:val="clear" w:color="auto" w:fill="auto"/>
            <w:tcMar>
              <w:left w:w="103" w:type="dxa"/>
            </w:tcMar>
          </w:tcPr>
          <w:p w:rsidR="001F1255" w:rsidRDefault="00770F49">
            <w:pPr>
              <w:jc w:val="right"/>
              <w:rPr>
                <w:rFonts w:cs="Arial"/>
                <w:bCs/>
                <w:sz w:val="22"/>
                <w:szCs w:val="22"/>
              </w:rPr>
            </w:pPr>
            <w:r>
              <w:rPr>
                <w:rFonts w:cs="Arial"/>
                <w:bCs/>
                <w:sz w:val="22"/>
                <w:szCs w:val="22"/>
              </w:rPr>
              <w:t>1,985,855</w:t>
            </w:r>
          </w:p>
        </w:tc>
        <w:tc>
          <w:tcPr>
            <w:tcW w:w="1002" w:type="dxa"/>
            <w:shd w:val="clear" w:color="auto" w:fill="auto"/>
            <w:tcMar>
              <w:left w:w="103" w:type="dxa"/>
            </w:tcMar>
          </w:tcPr>
          <w:p w:rsidR="001F1255" w:rsidRDefault="00770F49">
            <w:pPr>
              <w:jc w:val="center"/>
              <w:rPr>
                <w:rFonts w:cs="Arial"/>
                <w:bCs/>
                <w:sz w:val="22"/>
                <w:szCs w:val="22"/>
              </w:rPr>
            </w:pPr>
            <w:r>
              <w:rPr>
                <w:rFonts w:cs="Arial"/>
                <w:bCs/>
                <w:sz w:val="22"/>
                <w:szCs w:val="22"/>
              </w:rPr>
              <w:t>2015</w:t>
            </w:r>
          </w:p>
        </w:tc>
        <w:tc>
          <w:tcPr>
            <w:tcW w:w="1290"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1,985,855</w:t>
            </w:r>
          </w:p>
        </w:tc>
        <w:tc>
          <w:tcPr>
            <w:tcW w:w="1368"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0</w:t>
            </w:r>
          </w:p>
        </w:tc>
      </w:tr>
      <w:tr w:rsidR="001F1255">
        <w:tc>
          <w:tcPr>
            <w:tcW w:w="1108" w:type="dxa"/>
            <w:shd w:val="clear" w:color="auto" w:fill="auto"/>
            <w:tcMar>
              <w:left w:w="103" w:type="dxa"/>
            </w:tcMar>
            <w:vAlign w:val="center"/>
          </w:tcPr>
          <w:p w:rsidR="001F1255" w:rsidRDefault="00770F49">
            <w:pPr>
              <w:jc w:val="center"/>
              <w:rPr>
                <w:rFonts w:cs="Arial"/>
                <w:bCs/>
                <w:sz w:val="22"/>
                <w:szCs w:val="22"/>
              </w:rPr>
            </w:pPr>
            <w:r>
              <w:rPr>
                <w:rFonts w:cs="Arial"/>
                <w:bCs/>
                <w:sz w:val="22"/>
                <w:szCs w:val="22"/>
              </w:rPr>
              <w:t>2014</w:t>
            </w:r>
          </w:p>
        </w:tc>
        <w:tc>
          <w:tcPr>
            <w:tcW w:w="1334"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7,955,306</w:t>
            </w:r>
          </w:p>
        </w:tc>
        <w:tc>
          <w:tcPr>
            <w:tcW w:w="1413" w:type="dxa"/>
            <w:shd w:val="clear" w:color="auto" w:fill="auto"/>
            <w:tcMar>
              <w:left w:w="103" w:type="dxa"/>
            </w:tcMar>
          </w:tcPr>
          <w:p w:rsidR="001F1255" w:rsidRDefault="00770F49">
            <w:pPr>
              <w:jc w:val="right"/>
              <w:rPr>
                <w:rFonts w:cs="Arial"/>
                <w:bCs/>
                <w:sz w:val="22"/>
                <w:szCs w:val="22"/>
              </w:rPr>
            </w:pPr>
            <w:r>
              <w:rPr>
                <w:rFonts w:cs="Arial"/>
                <w:bCs/>
                <w:sz w:val="22"/>
                <w:szCs w:val="22"/>
              </w:rPr>
              <w:t>3,977,653</w:t>
            </w:r>
          </w:p>
        </w:tc>
        <w:tc>
          <w:tcPr>
            <w:tcW w:w="1002" w:type="dxa"/>
            <w:shd w:val="clear" w:color="auto" w:fill="auto"/>
            <w:tcMar>
              <w:left w:w="103" w:type="dxa"/>
            </w:tcMar>
          </w:tcPr>
          <w:p w:rsidR="001F1255" w:rsidRDefault="00770F49">
            <w:pPr>
              <w:jc w:val="center"/>
              <w:rPr>
                <w:rFonts w:cs="Arial"/>
                <w:bCs/>
                <w:sz w:val="22"/>
                <w:szCs w:val="22"/>
              </w:rPr>
            </w:pPr>
            <w:r>
              <w:rPr>
                <w:rFonts w:cs="Arial"/>
                <w:bCs/>
                <w:sz w:val="22"/>
                <w:szCs w:val="22"/>
              </w:rPr>
              <w:t>n/a</w:t>
            </w:r>
          </w:p>
        </w:tc>
        <w:tc>
          <w:tcPr>
            <w:tcW w:w="1290"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0</w:t>
            </w:r>
          </w:p>
        </w:tc>
        <w:tc>
          <w:tcPr>
            <w:tcW w:w="1368"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3,977,653</w:t>
            </w:r>
          </w:p>
        </w:tc>
      </w:tr>
      <w:tr w:rsidR="001F1255">
        <w:tc>
          <w:tcPr>
            <w:tcW w:w="1108" w:type="dxa"/>
            <w:shd w:val="clear" w:color="auto" w:fill="auto"/>
            <w:tcMar>
              <w:left w:w="103" w:type="dxa"/>
            </w:tcMar>
            <w:vAlign w:val="center"/>
          </w:tcPr>
          <w:p w:rsidR="001F1255" w:rsidRDefault="00770F49">
            <w:pPr>
              <w:jc w:val="center"/>
              <w:rPr>
                <w:rFonts w:cs="Arial"/>
                <w:bCs/>
                <w:sz w:val="22"/>
                <w:szCs w:val="22"/>
              </w:rPr>
            </w:pPr>
            <w:r>
              <w:rPr>
                <w:rFonts w:cs="Arial"/>
                <w:bCs/>
                <w:sz w:val="22"/>
                <w:szCs w:val="22"/>
              </w:rPr>
              <w:t>2015</w:t>
            </w:r>
          </w:p>
        </w:tc>
        <w:tc>
          <w:tcPr>
            <w:tcW w:w="1334"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4,843,990</w:t>
            </w:r>
          </w:p>
        </w:tc>
        <w:tc>
          <w:tcPr>
            <w:tcW w:w="1413" w:type="dxa"/>
            <w:shd w:val="clear" w:color="auto" w:fill="auto"/>
            <w:tcMar>
              <w:left w:w="103" w:type="dxa"/>
            </w:tcMar>
          </w:tcPr>
          <w:p w:rsidR="001F1255" w:rsidRDefault="00770F49">
            <w:pPr>
              <w:jc w:val="right"/>
              <w:rPr>
                <w:rFonts w:cs="Arial"/>
                <w:bCs/>
                <w:sz w:val="22"/>
                <w:szCs w:val="22"/>
              </w:rPr>
            </w:pPr>
            <w:r>
              <w:rPr>
                <w:rFonts w:cs="Arial"/>
                <w:bCs/>
                <w:sz w:val="22"/>
                <w:szCs w:val="22"/>
              </w:rPr>
              <w:t>2,421,995</w:t>
            </w:r>
          </w:p>
        </w:tc>
        <w:tc>
          <w:tcPr>
            <w:tcW w:w="1002" w:type="dxa"/>
            <w:shd w:val="clear" w:color="auto" w:fill="auto"/>
            <w:tcMar>
              <w:left w:w="103" w:type="dxa"/>
            </w:tcMar>
          </w:tcPr>
          <w:p w:rsidR="001F1255" w:rsidRDefault="00770F49">
            <w:pPr>
              <w:jc w:val="center"/>
              <w:rPr>
                <w:rFonts w:cs="Arial"/>
                <w:bCs/>
                <w:sz w:val="22"/>
                <w:szCs w:val="22"/>
              </w:rPr>
            </w:pPr>
            <w:r>
              <w:rPr>
                <w:rFonts w:cs="Arial"/>
                <w:bCs/>
                <w:sz w:val="22"/>
                <w:szCs w:val="22"/>
              </w:rPr>
              <w:t>n/a</w:t>
            </w:r>
          </w:p>
        </w:tc>
        <w:tc>
          <w:tcPr>
            <w:tcW w:w="1290"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0</w:t>
            </w:r>
          </w:p>
        </w:tc>
        <w:tc>
          <w:tcPr>
            <w:tcW w:w="1368" w:type="dxa"/>
            <w:shd w:val="clear" w:color="auto" w:fill="auto"/>
            <w:tcMar>
              <w:left w:w="103" w:type="dxa"/>
            </w:tcMar>
            <w:vAlign w:val="center"/>
          </w:tcPr>
          <w:p w:rsidR="001F1255" w:rsidRDefault="00770F49">
            <w:pPr>
              <w:jc w:val="right"/>
              <w:rPr>
                <w:rFonts w:cs="Arial"/>
                <w:bCs/>
                <w:sz w:val="22"/>
                <w:szCs w:val="22"/>
              </w:rPr>
            </w:pPr>
            <w:r>
              <w:rPr>
                <w:rFonts w:cs="Arial"/>
                <w:bCs/>
                <w:sz w:val="22"/>
                <w:szCs w:val="22"/>
              </w:rPr>
              <w:t>2,421,995</w:t>
            </w:r>
          </w:p>
        </w:tc>
      </w:tr>
      <w:tr w:rsidR="001F1255">
        <w:tc>
          <w:tcPr>
            <w:tcW w:w="1108" w:type="dxa"/>
            <w:tcBorders>
              <w:bottom w:val="double" w:sz="4" w:space="0" w:color="00000A"/>
            </w:tcBorders>
            <w:shd w:val="clear" w:color="auto" w:fill="auto"/>
            <w:tcMar>
              <w:left w:w="103" w:type="dxa"/>
            </w:tcMar>
            <w:vAlign w:val="center"/>
          </w:tcPr>
          <w:p w:rsidR="001F1255" w:rsidRDefault="00770F49">
            <w:pPr>
              <w:jc w:val="center"/>
              <w:rPr>
                <w:rFonts w:cs="Arial"/>
                <w:bCs/>
                <w:sz w:val="22"/>
                <w:szCs w:val="22"/>
              </w:rPr>
            </w:pPr>
            <w:r>
              <w:rPr>
                <w:rFonts w:cs="Arial"/>
                <w:bCs/>
                <w:sz w:val="22"/>
                <w:szCs w:val="22"/>
              </w:rPr>
              <w:t>2016</w:t>
            </w:r>
          </w:p>
        </w:tc>
        <w:tc>
          <w:tcPr>
            <w:tcW w:w="1334" w:type="dxa"/>
            <w:tcBorders>
              <w:bottom w:val="double" w:sz="4" w:space="0" w:color="00000A"/>
            </w:tcBorders>
            <w:shd w:val="clear" w:color="auto" w:fill="auto"/>
            <w:tcMar>
              <w:left w:w="103" w:type="dxa"/>
            </w:tcMar>
            <w:vAlign w:val="center"/>
          </w:tcPr>
          <w:p w:rsidR="001F1255" w:rsidRDefault="00770F49">
            <w:pPr>
              <w:jc w:val="right"/>
              <w:rPr>
                <w:rFonts w:cs="Arial"/>
                <w:bCs/>
                <w:sz w:val="22"/>
                <w:szCs w:val="22"/>
              </w:rPr>
            </w:pPr>
            <w:r>
              <w:rPr>
                <w:rFonts w:cs="Arial"/>
                <w:bCs/>
                <w:sz w:val="22"/>
                <w:szCs w:val="22"/>
              </w:rPr>
              <w:t>8,459,326</w:t>
            </w:r>
          </w:p>
        </w:tc>
        <w:tc>
          <w:tcPr>
            <w:tcW w:w="1413" w:type="dxa"/>
            <w:tcBorders>
              <w:bottom w:val="double" w:sz="4" w:space="0" w:color="00000A"/>
            </w:tcBorders>
            <w:shd w:val="clear" w:color="auto" w:fill="auto"/>
            <w:tcMar>
              <w:left w:w="103" w:type="dxa"/>
            </w:tcMar>
          </w:tcPr>
          <w:p w:rsidR="001F1255" w:rsidRDefault="00770F49">
            <w:pPr>
              <w:jc w:val="right"/>
              <w:rPr>
                <w:rFonts w:cs="Arial"/>
                <w:bCs/>
                <w:sz w:val="22"/>
                <w:szCs w:val="22"/>
              </w:rPr>
            </w:pPr>
            <w:r>
              <w:rPr>
                <w:rFonts w:cs="Arial"/>
                <w:bCs/>
                <w:sz w:val="22"/>
                <w:szCs w:val="22"/>
              </w:rPr>
              <w:t>4,229,663</w:t>
            </w:r>
          </w:p>
        </w:tc>
        <w:tc>
          <w:tcPr>
            <w:tcW w:w="1002" w:type="dxa"/>
            <w:tcBorders>
              <w:bottom w:val="double" w:sz="4" w:space="0" w:color="00000A"/>
            </w:tcBorders>
            <w:shd w:val="clear" w:color="auto" w:fill="auto"/>
            <w:tcMar>
              <w:left w:w="103" w:type="dxa"/>
            </w:tcMar>
          </w:tcPr>
          <w:p w:rsidR="001F1255" w:rsidRDefault="00770F49">
            <w:pPr>
              <w:jc w:val="center"/>
              <w:rPr>
                <w:rFonts w:cs="Arial"/>
                <w:bCs/>
                <w:sz w:val="22"/>
                <w:szCs w:val="22"/>
              </w:rPr>
            </w:pPr>
            <w:r>
              <w:rPr>
                <w:rFonts w:cs="Arial"/>
                <w:bCs/>
                <w:sz w:val="22"/>
                <w:szCs w:val="22"/>
              </w:rPr>
              <w:t>n/a</w:t>
            </w:r>
          </w:p>
        </w:tc>
        <w:tc>
          <w:tcPr>
            <w:tcW w:w="1290" w:type="dxa"/>
            <w:tcBorders>
              <w:bottom w:val="double" w:sz="4" w:space="0" w:color="00000A"/>
            </w:tcBorders>
            <w:shd w:val="clear" w:color="auto" w:fill="auto"/>
            <w:tcMar>
              <w:left w:w="103" w:type="dxa"/>
            </w:tcMar>
            <w:vAlign w:val="center"/>
          </w:tcPr>
          <w:p w:rsidR="001F1255" w:rsidRDefault="00770F49">
            <w:pPr>
              <w:jc w:val="right"/>
              <w:rPr>
                <w:rFonts w:cs="Arial"/>
                <w:bCs/>
                <w:sz w:val="22"/>
                <w:szCs w:val="22"/>
              </w:rPr>
            </w:pPr>
            <w:r>
              <w:rPr>
                <w:rFonts w:cs="Arial"/>
                <w:bCs/>
                <w:sz w:val="22"/>
                <w:szCs w:val="22"/>
              </w:rPr>
              <w:t>0</w:t>
            </w:r>
          </w:p>
        </w:tc>
        <w:tc>
          <w:tcPr>
            <w:tcW w:w="1368" w:type="dxa"/>
            <w:tcBorders>
              <w:bottom w:val="double" w:sz="4" w:space="0" w:color="00000A"/>
            </w:tcBorders>
            <w:shd w:val="clear" w:color="auto" w:fill="auto"/>
            <w:tcMar>
              <w:left w:w="103" w:type="dxa"/>
            </w:tcMar>
            <w:vAlign w:val="center"/>
          </w:tcPr>
          <w:p w:rsidR="001F1255" w:rsidRDefault="00770F49">
            <w:pPr>
              <w:jc w:val="right"/>
              <w:rPr>
                <w:rFonts w:cs="Arial"/>
                <w:bCs/>
                <w:sz w:val="22"/>
                <w:szCs w:val="22"/>
              </w:rPr>
            </w:pPr>
            <w:r>
              <w:rPr>
                <w:rFonts w:cs="Arial"/>
                <w:bCs/>
                <w:sz w:val="22"/>
                <w:szCs w:val="22"/>
              </w:rPr>
              <w:t>4,229,663</w:t>
            </w:r>
          </w:p>
        </w:tc>
      </w:tr>
      <w:tr w:rsidR="001F1255">
        <w:trPr>
          <w:trHeight w:val="357"/>
        </w:trPr>
        <w:tc>
          <w:tcPr>
            <w:tcW w:w="1108" w:type="dxa"/>
            <w:tcBorders>
              <w:top w:val="double" w:sz="4" w:space="0" w:color="00000A"/>
              <w:bottom w:val="double" w:sz="4" w:space="0" w:color="00000A"/>
            </w:tcBorders>
            <w:shd w:val="clear" w:color="auto" w:fill="auto"/>
            <w:tcMar>
              <w:left w:w="103" w:type="dxa"/>
            </w:tcMar>
            <w:vAlign w:val="center"/>
          </w:tcPr>
          <w:p w:rsidR="001F1255" w:rsidRDefault="00770F49">
            <w:pPr>
              <w:jc w:val="center"/>
              <w:rPr>
                <w:rFonts w:cs="Arial"/>
                <w:bCs/>
                <w:sz w:val="22"/>
                <w:szCs w:val="22"/>
              </w:rPr>
            </w:pPr>
            <w:r>
              <w:rPr>
                <w:rFonts w:cs="Arial"/>
                <w:bCs/>
                <w:sz w:val="22"/>
                <w:szCs w:val="22"/>
              </w:rPr>
              <w:t>Total</w:t>
            </w:r>
          </w:p>
        </w:tc>
        <w:tc>
          <w:tcPr>
            <w:tcW w:w="1334" w:type="dxa"/>
            <w:tcBorders>
              <w:top w:val="double" w:sz="4" w:space="0" w:color="00000A"/>
              <w:bottom w:val="double" w:sz="4" w:space="0" w:color="00000A"/>
            </w:tcBorders>
            <w:shd w:val="clear" w:color="auto" w:fill="auto"/>
            <w:tcMar>
              <w:left w:w="103" w:type="dxa"/>
            </w:tcMar>
            <w:vAlign w:val="center"/>
          </w:tcPr>
          <w:p w:rsidR="001F1255" w:rsidRDefault="00770F49">
            <w:pPr>
              <w:jc w:val="right"/>
              <w:rPr>
                <w:rFonts w:cs="Arial"/>
                <w:bCs/>
                <w:sz w:val="22"/>
                <w:szCs w:val="22"/>
              </w:rPr>
            </w:pPr>
            <w:r>
              <w:rPr>
                <w:rFonts w:cs="Arial"/>
                <w:bCs/>
                <w:sz w:val="22"/>
                <w:szCs w:val="22"/>
              </w:rPr>
              <w:t>36,070,816</w:t>
            </w:r>
          </w:p>
        </w:tc>
        <w:tc>
          <w:tcPr>
            <w:tcW w:w="1413" w:type="dxa"/>
            <w:tcBorders>
              <w:top w:val="double" w:sz="4" w:space="0" w:color="00000A"/>
              <w:bottom w:val="double" w:sz="4" w:space="0" w:color="00000A"/>
            </w:tcBorders>
            <w:shd w:val="clear" w:color="auto" w:fill="auto"/>
            <w:tcMar>
              <w:left w:w="103" w:type="dxa"/>
            </w:tcMar>
            <w:vAlign w:val="center"/>
          </w:tcPr>
          <w:p w:rsidR="001F1255" w:rsidRDefault="00770F49">
            <w:pPr>
              <w:jc w:val="center"/>
              <w:rPr>
                <w:rFonts w:cs="Arial"/>
                <w:bCs/>
                <w:sz w:val="22"/>
                <w:szCs w:val="22"/>
              </w:rPr>
            </w:pPr>
            <w:r>
              <w:rPr>
                <w:rFonts w:cs="Arial"/>
                <w:bCs/>
                <w:sz w:val="22"/>
                <w:szCs w:val="22"/>
              </w:rPr>
              <w:t>18,035,408</w:t>
            </w:r>
          </w:p>
        </w:tc>
        <w:tc>
          <w:tcPr>
            <w:tcW w:w="1002" w:type="dxa"/>
            <w:tcBorders>
              <w:top w:val="double" w:sz="4" w:space="0" w:color="00000A"/>
              <w:bottom w:val="double" w:sz="4" w:space="0" w:color="00000A"/>
            </w:tcBorders>
            <w:shd w:val="clear" w:color="auto" w:fill="auto"/>
            <w:tcMar>
              <w:left w:w="103" w:type="dxa"/>
            </w:tcMar>
          </w:tcPr>
          <w:p w:rsidR="001F1255" w:rsidRDefault="001F1255">
            <w:pPr>
              <w:jc w:val="right"/>
              <w:rPr>
                <w:rFonts w:cs="Arial"/>
                <w:bCs/>
                <w:sz w:val="22"/>
                <w:szCs w:val="22"/>
              </w:rPr>
            </w:pPr>
          </w:p>
        </w:tc>
        <w:tc>
          <w:tcPr>
            <w:tcW w:w="1290" w:type="dxa"/>
            <w:tcBorders>
              <w:top w:val="double" w:sz="4" w:space="0" w:color="00000A"/>
              <w:bottom w:val="double" w:sz="4" w:space="0" w:color="00000A"/>
            </w:tcBorders>
            <w:shd w:val="clear" w:color="auto" w:fill="auto"/>
            <w:tcMar>
              <w:left w:w="103" w:type="dxa"/>
            </w:tcMar>
            <w:vAlign w:val="center"/>
          </w:tcPr>
          <w:p w:rsidR="001F1255" w:rsidRDefault="00770F49">
            <w:pPr>
              <w:jc w:val="right"/>
              <w:rPr>
                <w:rFonts w:cs="Arial"/>
                <w:bCs/>
                <w:sz w:val="22"/>
                <w:szCs w:val="22"/>
              </w:rPr>
            </w:pPr>
            <w:r>
              <w:rPr>
                <w:rFonts w:cs="Arial"/>
                <w:bCs/>
                <w:sz w:val="22"/>
                <w:szCs w:val="22"/>
              </w:rPr>
              <w:t>6,985,855</w:t>
            </w:r>
          </w:p>
        </w:tc>
        <w:tc>
          <w:tcPr>
            <w:tcW w:w="1368" w:type="dxa"/>
            <w:tcBorders>
              <w:top w:val="double" w:sz="4" w:space="0" w:color="00000A"/>
              <w:bottom w:val="double" w:sz="4" w:space="0" w:color="00000A"/>
            </w:tcBorders>
            <w:shd w:val="clear" w:color="auto" w:fill="auto"/>
            <w:tcMar>
              <w:left w:w="103" w:type="dxa"/>
            </w:tcMar>
            <w:vAlign w:val="center"/>
          </w:tcPr>
          <w:p w:rsidR="001F1255" w:rsidRDefault="00770F49">
            <w:pPr>
              <w:jc w:val="right"/>
              <w:rPr>
                <w:rFonts w:cs="Arial"/>
                <w:b/>
                <w:bCs/>
                <w:sz w:val="22"/>
                <w:szCs w:val="22"/>
              </w:rPr>
            </w:pPr>
            <w:r>
              <w:rPr>
                <w:rFonts w:cs="Arial"/>
                <w:b/>
                <w:bCs/>
                <w:sz w:val="22"/>
                <w:szCs w:val="22"/>
              </w:rPr>
              <w:t>11,049,553</w:t>
            </w:r>
          </w:p>
        </w:tc>
      </w:tr>
    </w:tbl>
    <w:p w:rsidR="004E3FCA" w:rsidRDefault="004E3FCA">
      <w:pPr>
        <w:ind w:left="360"/>
        <w:rPr>
          <w:rFonts w:cs="Arial"/>
          <w:bCs/>
          <w:sz w:val="24"/>
        </w:rPr>
      </w:pPr>
    </w:p>
    <w:p w:rsidR="00770F49" w:rsidRPr="004E3FCA" w:rsidRDefault="00770F49">
      <w:pPr>
        <w:ind w:left="270"/>
        <w:rPr>
          <w:rFonts w:cs="Arial"/>
          <w:bCs/>
          <w:sz w:val="22"/>
          <w:szCs w:val="22"/>
        </w:rPr>
      </w:pPr>
      <w:r w:rsidRPr="004E3FCA">
        <w:rPr>
          <w:rFonts w:cs="Arial"/>
          <w:bCs/>
          <w:sz w:val="22"/>
          <w:szCs w:val="22"/>
        </w:rPr>
        <w:t>Of the total dividends due as of December 31, 2016 of P11,049,55</w:t>
      </w:r>
      <w:r w:rsidR="004E3FCA">
        <w:rPr>
          <w:rFonts w:cs="Arial"/>
          <w:bCs/>
          <w:sz w:val="22"/>
          <w:szCs w:val="22"/>
        </w:rPr>
        <w:t>3, only the amount of P3,615,338</w:t>
      </w:r>
      <w:r w:rsidRPr="004E3FCA">
        <w:rPr>
          <w:rFonts w:cs="Arial"/>
          <w:bCs/>
          <w:sz w:val="22"/>
          <w:szCs w:val="22"/>
        </w:rPr>
        <w:t xml:space="preserve"> was set up in the books as follows:</w:t>
      </w:r>
    </w:p>
    <w:p w:rsidR="004E3FCA" w:rsidRDefault="004E3FCA">
      <w:pPr>
        <w:ind w:left="270"/>
        <w:rPr>
          <w:rFonts w:cs="Arial"/>
          <w:bCs/>
          <w:sz w:val="22"/>
          <w:szCs w:val="22"/>
        </w:rPr>
      </w:pPr>
    </w:p>
    <w:tbl>
      <w:tblPr>
        <w:tblW w:w="0" w:type="auto"/>
        <w:tblInd w:w="648" w:type="dxa"/>
        <w:tblLook w:val="04A0" w:firstRow="1" w:lastRow="0" w:firstColumn="1" w:lastColumn="0" w:noHBand="0" w:noVBand="1"/>
      </w:tblPr>
      <w:tblGrid>
        <w:gridCol w:w="1937"/>
        <w:gridCol w:w="2237"/>
        <w:gridCol w:w="2233"/>
        <w:gridCol w:w="1873"/>
      </w:tblGrid>
      <w:tr w:rsidR="004E3FCA" w:rsidRPr="0083036C" w:rsidTr="004E3FCA">
        <w:tc>
          <w:tcPr>
            <w:tcW w:w="1937" w:type="dxa"/>
            <w:tcBorders>
              <w:bottom w:val="single" w:sz="4" w:space="0" w:color="auto"/>
            </w:tcBorders>
          </w:tcPr>
          <w:p w:rsidR="004E3FCA" w:rsidRPr="0083036C" w:rsidRDefault="004E3FCA" w:rsidP="004E3FCA">
            <w:pPr>
              <w:pStyle w:val="BodyText"/>
              <w:tabs>
                <w:tab w:val="left" w:pos="360"/>
                <w:tab w:val="left" w:pos="720"/>
              </w:tabs>
              <w:spacing w:after="0" w:line="240" w:lineRule="auto"/>
              <w:jc w:val="left"/>
              <w:rPr>
                <w:szCs w:val="22"/>
              </w:rPr>
            </w:pPr>
            <w:r w:rsidRPr="0083036C">
              <w:rPr>
                <w:szCs w:val="22"/>
              </w:rPr>
              <w:t>Year</w:t>
            </w:r>
          </w:p>
        </w:tc>
        <w:tc>
          <w:tcPr>
            <w:tcW w:w="2237" w:type="dxa"/>
            <w:tcBorders>
              <w:bottom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Amount Accrued</w:t>
            </w:r>
          </w:p>
        </w:tc>
        <w:tc>
          <w:tcPr>
            <w:tcW w:w="2233" w:type="dxa"/>
            <w:tcBorders>
              <w:bottom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Amount Paid</w:t>
            </w:r>
          </w:p>
        </w:tc>
        <w:tc>
          <w:tcPr>
            <w:tcW w:w="1873" w:type="dxa"/>
            <w:tcBorders>
              <w:bottom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Balance</w:t>
            </w:r>
          </w:p>
        </w:tc>
      </w:tr>
      <w:tr w:rsidR="004E3FCA" w:rsidRPr="0083036C" w:rsidTr="004E3FCA">
        <w:trPr>
          <w:trHeight w:val="278"/>
        </w:trPr>
        <w:tc>
          <w:tcPr>
            <w:tcW w:w="1937" w:type="dxa"/>
            <w:tcBorders>
              <w:top w:val="single" w:sz="4" w:space="0" w:color="auto"/>
            </w:tcBorders>
          </w:tcPr>
          <w:p w:rsidR="004E3FCA" w:rsidRPr="0083036C" w:rsidRDefault="004E3FCA" w:rsidP="004E3FCA">
            <w:pPr>
              <w:pStyle w:val="BodyText"/>
              <w:tabs>
                <w:tab w:val="left" w:pos="360"/>
                <w:tab w:val="left" w:pos="720"/>
              </w:tabs>
              <w:spacing w:after="0" w:line="240" w:lineRule="auto"/>
              <w:rPr>
                <w:szCs w:val="22"/>
              </w:rPr>
            </w:pPr>
            <w:r w:rsidRPr="0083036C">
              <w:rPr>
                <w:szCs w:val="22"/>
              </w:rPr>
              <w:t>CY 2013</w:t>
            </w:r>
          </w:p>
        </w:tc>
        <w:tc>
          <w:tcPr>
            <w:tcW w:w="2237" w:type="dxa"/>
            <w:tcBorders>
              <w:top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2,000,000</w:t>
            </w:r>
          </w:p>
        </w:tc>
        <w:tc>
          <w:tcPr>
            <w:tcW w:w="2233" w:type="dxa"/>
            <w:tcBorders>
              <w:top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2,000,000</w:t>
            </w:r>
          </w:p>
        </w:tc>
        <w:tc>
          <w:tcPr>
            <w:tcW w:w="1873" w:type="dxa"/>
            <w:tcBorders>
              <w:top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0</w:t>
            </w:r>
          </w:p>
        </w:tc>
      </w:tr>
      <w:tr w:rsidR="004E3FCA" w:rsidRPr="0083036C" w:rsidTr="004E3FCA">
        <w:tc>
          <w:tcPr>
            <w:tcW w:w="1937" w:type="dxa"/>
          </w:tcPr>
          <w:p w:rsidR="004E3FCA" w:rsidRPr="0083036C" w:rsidRDefault="004E3FCA" w:rsidP="004E3FCA">
            <w:pPr>
              <w:pStyle w:val="BodyText"/>
              <w:tabs>
                <w:tab w:val="left" w:pos="360"/>
                <w:tab w:val="left" w:pos="720"/>
              </w:tabs>
              <w:spacing w:after="0" w:line="240" w:lineRule="auto"/>
              <w:rPr>
                <w:szCs w:val="22"/>
              </w:rPr>
            </w:pPr>
            <w:r w:rsidRPr="0083036C">
              <w:rPr>
                <w:szCs w:val="22"/>
              </w:rPr>
              <w:t>CY 2014</w:t>
            </w:r>
          </w:p>
        </w:tc>
        <w:tc>
          <w:tcPr>
            <w:tcW w:w="2237" w:type="dxa"/>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3,000,000</w:t>
            </w:r>
          </w:p>
        </w:tc>
        <w:tc>
          <w:tcPr>
            <w:tcW w:w="2233" w:type="dxa"/>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3,000,000</w:t>
            </w:r>
          </w:p>
        </w:tc>
        <w:tc>
          <w:tcPr>
            <w:tcW w:w="1873" w:type="dxa"/>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0</w:t>
            </w:r>
          </w:p>
        </w:tc>
      </w:tr>
      <w:tr w:rsidR="004E3FCA" w:rsidRPr="0083036C" w:rsidTr="004E3FCA">
        <w:tc>
          <w:tcPr>
            <w:tcW w:w="1937" w:type="dxa"/>
            <w:tcBorders>
              <w:bottom w:val="single" w:sz="4" w:space="0" w:color="auto"/>
            </w:tcBorders>
          </w:tcPr>
          <w:p w:rsidR="004E3FCA" w:rsidRPr="0083036C" w:rsidRDefault="004E3FCA" w:rsidP="004E3FCA">
            <w:pPr>
              <w:pStyle w:val="BodyText"/>
              <w:tabs>
                <w:tab w:val="left" w:pos="360"/>
                <w:tab w:val="left" w:pos="720"/>
              </w:tabs>
              <w:spacing w:after="0" w:line="240" w:lineRule="auto"/>
              <w:rPr>
                <w:szCs w:val="22"/>
              </w:rPr>
            </w:pPr>
            <w:r w:rsidRPr="0083036C">
              <w:rPr>
                <w:szCs w:val="22"/>
              </w:rPr>
              <w:t>CY 2015</w:t>
            </w:r>
          </w:p>
        </w:tc>
        <w:tc>
          <w:tcPr>
            <w:tcW w:w="2237" w:type="dxa"/>
            <w:tcBorders>
              <w:bottom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3,000,000</w:t>
            </w:r>
          </w:p>
        </w:tc>
        <w:tc>
          <w:tcPr>
            <w:tcW w:w="2233" w:type="dxa"/>
            <w:tcBorders>
              <w:bottom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1,985,855</w:t>
            </w:r>
          </w:p>
        </w:tc>
        <w:tc>
          <w:tcPr>
            <w:tcW w:w="1873" w:type="dxa"/>
            <w:tcBorders>
              <w:bottom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1,014,145</w:t>
            </w:r>
          </w:p>
        </w:tc>
      </w:tr>
      <w:tr w:rsidR="004E3FCA" w:rsidRPr="0083036C" w:rsidTr="004E3FCA">
        <w:tc>
          <w:tcPr>
            <w:tcW w:w="1937" w:type="dxa"/>
            <w:tcBorders>
              <w:top w:val="single" w:sz="4" w:space="0" w:color="auto"/>
            </w:tcBorders>
          </w:tcPr>
          <w:p w:rsidR="004E3FCA" w:rsidRPr="0083036C" w:rsidRDefault="004E3FCA" w:rsidP="004E3FCA">
            <w:pPr>
              <w:pStyle w:val="BodyText"/>
              <w:tabs>
                <w:tab w:val="left" w:pos="360"/>
                <w:tab w:val="left" w:pos="720"/>
              </w:tabs>
              <w:spacing w:after="0" w:line="240" w:lineRule="auto"/>
              <w:rPr>
                <w:szCs w:val="22"/>
              </w:rPr>
            </w:pPr>
            <w:r w:rsidRPr="0083036C">
              <w:rPr>
                <w:szCs w:val="22"/>
              </w:rPr>
              <w:t>Balance 12-31-15</w:t>
            </w:r>
          </w:p>
        </w:tc>
        <w:tc>
          <w:tcPr>
            <w:tcW w:w="2237" w:type="dxa"/>
            <w:tcBorders>
              <w:top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8,000,000</w:t>
            </w:r>
          </w:p>
        </w:tc>
        <w:tc>
          <w:tcPr>
            <w:tcW w:w="2233" w:type="dxa"/>
            <w:tcBorders>
              <w:top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6,985,855</w:t>
            </w:r>
          </w:p>
        </w:tc>
        <w:tc>
          <w:tcPr>
            <w:tcW w:w="1873" w:type="dxa"/>
            <w:tcBorders>
              <w:top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1,014,145</w:t>
            </w:r>
          </w:p>
        </w:tc>
      </w:tr>
      <w:tr w:rsidR="004E3FCA" w:rsidRPr="0083036C" w:rsidTr="004E3FCA">
        <w:tc>
          <w:tcPr>
            <w:tcW w:w="1937" w:type="dxa"/>
            <w:tcBorders>
              <w:bottom w:val="single" w:sz="4" w:space="0" w:color="auto"/>
            </w:tcBorders>
          </w:tcPr>
          <w:p w:rsidR="004E3FCA" w:rsidRPr="0083036C" w:rsidRDefault="004E3FCA" w:rsidP="004E3FCA">
            <w:pPr>
              <w:pStyle w:val="BodyText"/>
              <w:tabs>
                <w:tab w:val="left" w:pos="360"/>
                <w:tab w:val="left" w:pos="720"/>
              </w:tabs>
              <w:spacing w:after="0" w:line="240" w:lineRule="auto"/>
              <w:rPr>
                <w:szCs w:val="22"/>
              </w:rPr>
            </w:pPr>
            <w:r w:rsidRPr="0083036C">
              <w:rPr>
                <w:szCs w:val="22"/>
              </w:rPr>
              <w:t>CY 2016</w:t>
            </w:r>
          </w:p>
        </w:tc>
        <w:tc>
          <w:tcPr>
            <w:tcW w:w="2237" w:type="dxa"/>
            <w:tcBorders>
              <w:bottom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2,601,193</w:t>
            </w:r>
          </w:p>
        </w:tc>
        <w:tc>
          <w:tcPr>
            <w:tcW w:w="2233" w:type="dxa"/>
            <w:tcBorders>
              <w:bottom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0</w:t>
            </w:r>
          </w:p>
        </w:tc>
        <w:tc>
          <w:tcPr>
            <w:tcW w:w="1873" w:type="dxa"/>
            <w:tcBorders>
              <w:bottom w:val="sing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2,601,193</w:t>
            </w:r>
          </w:p>
        </w:tc>
      </w:tr>
      <w:tr w:rsidR="004E3FCA" w:rsidRPr="0083036C" w:rsidTr="004E3FCA">
        <w:tc>
          <w:tcPr>
            <w:tcW w:w="1937" w:type="dxa"/>
            <w:tcBorders>
              <w:top w:val="single" w:sz="4" w:space="0" w:color="auto"/>
              <w:bottom w:val="double" w:sz="4" w:space="0" w:color="auto"/>
            </w:tcBorders>
          </w:tcPr>
          <w:p w:rsidR="004E3FCA" w:rsidRPr="0083036C" w:rsidRDefault="004E3FCA" w:rsidP="004E3FCA">
            <w:pPr>
              <w:pStyle w:val="BodyText"/>
              <w:tabs>
                <w:tab w:val="left" w:pos="360"/>
                <w:tab w:val="left" w:pos="720"/>
              </w:tabs>
              <w:spacing w:after="0" w:line="240" w:lineRule="auto"/>
              <w:rPr>
                <w:szCs w:val="22"/>
              </w:rPr>
            </w:pPr>
            <w:r w:rsidRPr="0083036C">
              <w:rPr>
                <w:szCs w:val="22"/>
              </w:rPr>
              <w:t>Balance 12-31-16</w:t>
            </w:r>
          </w:p>
        </w:tc>
        <w:tc>
          <w:tcPr>
            <w:tcW w:w="2237" w:type="dxa"/>
            <w:tcBorders>
              <w:top w:val="single" w:sz="4" w:space="0" w:color="auto"/>
              <w:bottom w:val="doub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10,601,193</w:t>
            </w:r>
          </w:p>
        </w:tc>
        <w:tc>
          <w:tcPr>
            <w:tcW w:w="2233" w:type="dxa"/>
            <w:tcBorders>
              <w:top w:val="single" w:sz="4" w:space="0" w:color="auto"/>
              <w:bottom w:val="doub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6,985,855</w:t>
            </w:r>
          </w:p>
        </w:tc>
        <w:tc>
          <w:tcPr>
            <w:tcW w:w="1873" w:type="dxa"/>
            <w:tcBorders>
              <w:top w:val="single" w:sz="4" w:space="0" w:color="auto"/>
              <w:bottom w:val="double" w:sz="4" w:space="0" w:color="auto"/>
            </w:tcBorders>
          </w:tcPr>
          <w:p w:rsidR="004E3FCA" w:rsidRPr="0083036C" w:rsidRDefault="004E3FCA" w:rsidP="004E3FCA">
            <w:pPr>
              <w:pStyle w:val="BodyText"/>
              <w:tabs>
                <w:tab w:val="left" w:pos="360"/>
                <w:tab w:val="left" w:pos="720"/>
              </w:tabs>
              <w:spacing w:after="0" w:line="240" w:lineRule="auto"/>
              <w:jc w:val="right"/>
              <w:rPr>
                <w:szCs w:val="22"/>
              </w:rPr>
            </w:pPr>
            <w:r w:rsidRPr="0083036C">
              <w:rPr>
                <w:szCs w:val="22"/>
              </w:rPr>
              <w:t>3,615,338</w:t>
            </w:r>
          </w:p>
        </w:tc>
      </w:tr>
    </w:tbl>
    <w:p w:rsidR="00770F49" w:rsidRDefault="00770F49" w:rsidP="004E3FCA">
      <w:pPr>
        <w:rPr>
          <w:rFonts w:cs="Arial"/>
          <w:bCs/>
          <w:sz w:val="22"/>
          <w:szCs w:val="22"/>
        </w:rPr>
      </w:pPr>
    </w:p>
    <w:p w:rsidR="001F1255" w:rsidRDefault="00770F49">
      <w:pPr>
        <w:ind w:left="270"/>
        <w:rPr>
          <w:rFonts w:cs="Arial"/>
          <w:bCs/>
          <w:sz w:val="22"/>
          <w:szCs w:val="22"/>
        </w:rPr>
      </w:pPr>
      <w:r>
        <w:rPr>
          <w:rFonts w:cs="Arial"/>
          <w:bCs/>
          <w:sz w:val="22"/>
          <w:szCs w:val="22"/>
        </w:rPr>
        <w:t>In the immediate past year, Management submitted to the audit team a copy of their letter dated April 5, 2016, addressed to the Secretary of Department of Finance (DOF) duly received by the DOF on April 26, 2016, requesting that PADC be granted temporary relief from the provision of RA 7656 requiring GOCCs to remit at least 50 per cent of annual net earnings to the National Government.  Said letter has not been favored with a reply.</w:t>
      </w:r>
    </w:p>
    <w:p w:rsidR="001F1255" w:rsidRDefault="001F1255">
      <w:pPr>
        <w:ind w:left="360"/>
        <w:rPr>
          <w:rFonts w:cs="Arial"/>
          <w:bCs/>
          <w:sz w:val="22"/>
          <w:szCs w:val="22"/>
        </w:rPr>
      </w:pPr>
    </w:p>
    <w:p w:rsidR="001F1255" w:rsidRDefault="00770F49">
      <w:pPr>
        <w:ind w:left="270"/>
        <w:outlineLvl w:val="0"/>
        <w:rPr>
          <w:rFonts w:cs="Arial"/>
          <w:sz w:val="22"/>
          <w:szCs w:val="22"/>
        </w:rPr>
      </w:pPr>
      <w:r>
        <w:rPr>
          <w:rFonts w:cs="Arial"/>
          <w:bCs/>
          <w:sz w:val="22"/>
          <w:szCs w:val="22"/>
        </w:rPr>
        <w:t>We reiterated our recommendation that Management strictly comply with the provisions of RA 7656.</w:t>
      </w:r>
    </w:p>
    <w:p w:rsidR="001F1255" w:rsidRDefault="001F1255">
      <w:pPr>
        <w:ind w:left="360" w:hanging="450"/>
        <w:outlineLvl w:val="0"/>
        <w:rPr>
          <w:rFonts w:cs="Arial"/>
          <w:sz w:val="22"/>
          <w:szCs w:val="22"/>
        </w:rPr>
      </w:pPr>
    </w:p>
    <w:p w:rsidR="004E3FCA" w:rsidRDefault="004E3FCA" w:rsidP="00A37E7A">
      <w:pPr>
        <w:outlineLvl w:val="0"/>
        <w:rPr>
          <w:rFonts w:cs="Arial"/>
          <w:sz w:val="22"/>
          <w:szCs w:val="22"/>
        </w:rPr>
      </w:pPr>
    </w:p>
    <w:p w:rsidR="001F1255" w:rsidRDefault="00770F49">
      <w:pPr>
        <w:ind w:left="270" w:hanging="360"/>
        <w:rPr>
          <w:rFonts w:cs="Arial"/>
          <w:b/>
          <w:sz w:val="22"/>
          <w:szCs w:val="22"/>
        </w:rPr>
      </w:pPr>
      <w:r>
        <w:rPr>
          <w:rFonts w:cs="Arial"/>
          <w:b/>
          <w:sz w:val="22"/>
          <w:szCs w:val="22"/>
        </w:rPr>
        <w:t>7.</w:t>
      </w:r>
      <w:r>
        <w:rPr>
          <w:rFonts w:cs="Arial"/>
          <w:b/>
          <w:sz w:val="22"/>
          <w:szCs w:val="22"/>
        </w:rPr>
        <w:tab/>
        <w:t>The Corporation’s CY 2016 Corporate Operating Budget (COB) does not bear the requisite approval of the Department of Budget and Management (DBM) as of December 31, 2016 as required by Executive Order No. 518, thus rendering all PADC spending for the year on unstable foothold.</w:t>
      </w:r>
    </w:p>
    <w:p w:rsidR="001F1255" w:rsidRDefault="001F1255">
      <w:pPr>
        <w:ind w:left="360" w:hanging="450"/>
        <w:outlineLvl w:val="0"/>
        <w:rPr>
          <w:rFonts w:cs="Arial"/>
          <w:sz w:val="22"/>
          <w:szCs w:val="22"/>
        </w:rPr>
      </w:pPr>
    </w:p>
    <w:p w:rsidR="001F1255" w:rsidRDefault="00770F49">
      <w:pPr>
        <w:ind w:left="270"/>
        <w:rPr>
          <w:rFonts w:cs="Arial"/>
          <w:sz w:val="22"/>
        </w:rPr>
      </w:pPr>
      <w:r>
        <w:rPr>
          <w:rFonts w:cs="Arial"/>
          <w:sz w:val="22"/>
        </w:rPr>
        <w:lastRenderedPageBreak/>
        <w:t>Section 6 of Executive Order No. 518 dated January 23. 1979,  otherwise known as the “Government Corporate Budget Executive Order of 1978”, requires government-owned or controlled corporations to prepare an operating budget prior to the beginning of the year and have it recommended by its Governing Board for consideration and approval by the President/Prime Minister (presently delegated to the Department of Budget and Management).</w:t>
      </w:r>
    </w:p>
    <w:p w:rsidR="001F1255" w:rsidRDefault="001F1255">
      <w:pPr>
        <w:ind w:left="270"/>
        <w:rPr>
          <w:rFonts w:cs="Arial"/>
          <w:sz w:val="22"/>
        </w:rPr>
      </w:pPr>
    </w:p>
    <w:p w:rsidR="001F1255" w:rsidRDefault="00770F49">
      <w:pPr>
        <w:tabs>
          <w:tab w:val="left" w:pos="360"/>
        </w:tabs>
        <w:ind w:left="270"/>
        <w:rPr>
          <w:rFonts w:cs="Arial"/>
          <w:sz w:val="22"/>
          <w:szCs w:val="22"/>
        </w:rPr>
      </w:pPr>
      <w:r>
        <w:rPr>
          <w:rFonts w:cs="Arial"/>
          <w:sz w:val="22"/>
        </w:rPr>
        <w:t>Further, Section 15 of said Order provides that “</w:t>
      </w:r>
      <w:r>
        <w:rPr>
          <w:rFonts w:cs="Arial"/>
          <w:sz w:val="22"/>
          <w:szCs w:val="22"/>
        </w:rPr>
        <w:t>No government-owned or controlled corporation shall incur obligations or make payments for current operating or capital expenditures after the beginning of each calendar year without a budget as approved under this Order.”</w:t>
      </w:r>
    </w:p>
    <w:p w:rsidR="001F1255" w:rsidRDefault="001F1255">
      <w:pPr>
        <w:tabs>
          <w:tab w:val="left" w:pos="360"/>
        </w:tabs>
        <w:ind w:left="270"/>
        <w:rPr>
          <w:rFonts w:cs="Arial"/>
          <w:bCs/>
          <w:sz w:val="22"/>
          <w:szCs w:val="22"/>
        </w:rPr>
      </w:pPr>
    </w:p>
    <w:p w:rsidR="001F1255" w:rsidRDefault="00770F49">
      <w:pPr>
        <w:tabs>
          <w:tab w:val="left" w:pos="360"/>
        </w:tabs>
        <w:ind w:left="270"/>
        <w:rPr>
          <w:rFonts w:cs="Arial"/>
          <w:bCs/>
          <w:sz w:val="22"/>
          <w:szCs w:val="22"/>
        </w:rPr>
      </w:pPr>
      <w:r>
        <w:rPr>
          <w:rFonts w:cs="Arial"/>
          <w:bCs/>
          <w:sz w:val="22"/>
          <w:szCs w:val="22"/>
        </w:rPr>
        <w:t xml:space="preserve">Our review of the Corporation’s budgetary and other fiscal transactions disclosed that its CY 2016 COB was not approved by the DBM as of December 31, 2016.  Upon inquiry from Management, we were informed that the reason for the lack of approval was due to the difficulty of mustering the required quorum for the members of the PADC Board to deliberate and approve the proposed 2016 budget.  </w:t>
      </w:r>
    </w:p>
    <w:p w:rsidR="001F1255" w:rsidRDefault="001F1255">
      <w:pPr>
        <w:tabs>
          <w:tab w:val="left" w:pos="360"/>
        </w:tabs>
        <w:ind w:left="270"/>
        <w:rPr>
          <w:rFonts w:cs="Arial"/>
          <w:bCs/>
          <w:sz w:val="22"/>
          <w:szCs w:val="22"/>
        </w:rPr>
      </w:pPr>
    </w:p>
    <w:p w:rsidR="001F1255" w:rsidRDefault="00770F49">
      <w:pPr>
        <w:tabs>
          <w:tab w:val="left" w:pos="360"/>
        </w:tabs>
        <w:ind w:left="270"/>
        <w:rPr>
          <w:rFonts w:cs="Arial"/>
          <w:bCs/>
          <w:sz w:val="22"/>
          <w:szCs w:val="22"/>
        </w:rPr>
      </w:pPr>
      <w:r>
        <w:rPr>
          <w:rFonts w:cs="Arial"/>
          <w:bCs/>
          <w:sz w:val="22"/>
          <w:szCs w:val="22"/>
        </w:rPr>
        <w:t>We reiterate</w:t>
      </w:r>
      <w:r w:rsidR="00752A35">
        <w:rPr>
          <w:rFonts w:cs="Arial"/>
          <w:bCs/>
          <w:sz w:val="22"/>
          <w:szCs w:val="22"/>
        </w:rPr>
        <w:t>d</w:t>
      </w:r>
      <w:r>
        <w:rPr>
          <w:rFonts w:cs="Arial"/>
          <w:bCs/>
          <w:sz w:val="22"/>
          <w:szCs w:val="22"/>
        </w:rPr>
        <w:t xml:space="preserve"> our previous audit recommendation that Management exert all efforts to promptly obtain the required board approval for the Corporation’s COB in order to comply with Executive Order No. 518.</w:t>
      </w:r>
    </w:p>
    <w:p w:rsidR="001F1255" w:rsidRDefault="001F1255">
      <w:pPr>
        <w:ind w:left="270"/>
        <w:outlineLvl w:val="0"/>
        <w:rPr>
          <w:rFonts w:cs="Arial"/>
          <w:sz w:val="22"/>
          <w:szCs w:val="22"/>
        </w:rPr>
      </w:pPr>
    </w:p>
    <w:p w:rsidR="001F1255" w:rsidRDefault="001F1255">
      <w:pPr>
        <w:ind w:left="360" w:hanging="450"/>
        <w:outlineLvl w:val="0"/>
        <w:rPr>
          <w:rFonts w:cs="Arial"/>
          <w:sz w:val="22"/>
          <w:szCs w:val="22"/>
        </w:rPr>
      </w:pPr>
    </w:p>
    <w:p w:rsidR="001F1255" w:rsidRDefault="00770F49">
      <w:pPr>
        <w:pStyle w:val="BlockText"/>
        <w:ind w:left="0" w:right="0" w:hanging="90"/>
        <w:rPr>
          <w:b/>
          <w:color w:val="00000A"/>
        </w:rPr>
      </w:pPr>
      <w:r>
        <w:rPr>
          <w:b/>
          <w:bCs/>
          <w:color w:val="00000A"/>
        </w:rPr>
        <w:t>8.  Summary of Total Suspensions, Disallowances and Charges</w:t>
      </w:r>
    </w:p>
    <w:p w:rsidR="001F1255" w:rsidRDefault="001F1255">
      <w:pPr>
        <w:ind w:left="360" w:hanging="360"/>
        <w:rPr>
          <w:rFonts w:cs="Arial"/>
          <w:b/>
          <w:sz w:val="22"/>
          <w:szCs w:val="22"/>
        </w:rPr>
      </w:pPr>
    </w:p>
    <w:p w:rsidR="001F1255" w:rsidRDefault="00770F49">
      <w:pPr>
        <w:ind w:left="270"/>
        <w:rPr>
          <w:rFonts w:cs="Arial"/>
          <w:sz w:val="22"/>
          <w:szCs w:val="22"/>
        </w:rPr>
      </w:pPr>
      <w:r>
        <w:rPr>
          <w:rFonts w:cs="Arial"/>
          <w:sz w:val="22"/>
          <w:szCs w:val="22"/>
        </w:rPr>
        <w:t>For CY 2016 and 2015, the unsettled Suspension, Disallowances and Charges are as follows:</w:t>
      </w:r>
    </w:p>
    <w:p w:rsidR="001F1255" w:rsidRDefault="001F1255">
      <w:pPr>
        <w:jc w:val="right"/>
        <w:rPr>
          <w:rFonts w:cs="Arial"/>
          <w:sz w:val="22"/>
          <w:szCs w:val="22"/>
        </w:rPr>
      </w:pPr>
    </w:p>
    <w:tbl>
      <w:tblPr>
        <w:tblW w:w="6320" w:type="dxa"/>
        <w:tblInd w:w="1368" w:type="dxa"/>
        <w:tblLook w:val="04A0" w:firstRow="1" w:lastRow="0" w:firstColumn="1" w:lastColumn="0" w:noHBand="0" w:noVBand="1"/>
      </w:tblPr>
      <w:tblGrid>
        <w:gridCol w:w="2810"/>
        <w:gridCol w:w="1466"/>
        <w:gridCol w:w="2044"/>
      </w:tblGrid>
      <w:tr w:rsidR="001F1255" w:rsidTr="00210CAE">
        <w:tc>
          <w:tcPr>
            <w:tcW w:w="2810" w:type="dxa"/>
            <w:tcBorders>
              <w:bottom w:val="single" w:sz="4" w:space="0" w:color="00000A"/>
            </w:tcBorders>
            <w:shd w:val="clear" w:color="auto" w:fill="auto"/>
          </w:tcPr>
          <w:p w:rsidR="001F1255" w:rsidRDefault="001F1255">
            <w:pPr>
              <w:rPr>
                <w:rFonts w:cs="Arial"/>
                <w:sz w:val="22"/>
                <w:szCs w:val="22"/>
              </w:rPr>
            </w:pPr>
          </w:p>
        </w:tc>
        <w:tc>
          <w:tcPr>
            <w:tcW w:w="1466" w:type="dxa"/>
            <w:tcBorders>
              <w:bottom w:val="single" w:sz="4" w:space="0" w:color="00000A"/>
            </w:tcBorders>
            <w:shd w:val="clear" w:color="auto" w:fill="auto"/>
          </w:tcPr>
          <w:p w:rsidR="001F1255" w:rsidRDefault="00770F49">
            <w:pPr>
              <w:jc w:val="right"/>
              <w:rPr>
                <w:rFonts w:cs="Arial"/>
                <w:sz w:val="22"/>
                <w:szCs w:val="22"/>
              </w:rPr>
            </w:pPr>
            <w:r>
              <w:rPr>
                <w:rFonts w:cs="Arial"/>
                <w:sz w:val="22"/>
                <w:szCs w:val="22"/>
              </w:rPr>
              <w:t>2016</w:t>
            </w:r>
          </w:p>
        </w:tc>
        <w:tc>
          <w:tcPr>
            <w:tcW w:w="2044" w:type="dxa"/>
            <w:tcBorders>
              <w:bottom w:val="single" w:sz="4" w:space="0" w:color="00000A"/>
            </w:tcBorders>
            <w:shd w:val="clear" w:color="auto" w:fill="auto"/>
          </w:tcPr>
          <w:p w:rsidR="001F1255" w:rsidRDefault="00770F49">
            <w:pPr>
              <w:ind w:left="46" w:hanging="46"/>
              <w:jc w:val="right"/>
              <w:rPr>
                <w:rFonts w:cs="Arial"/>
                <w:sz w:val="22"/>
                <w:szCs w:val="22"/>
              </w:rPr>
            </w:pPr>
            <w:r>
              <w:rPr>
                <w:rFonts w:cs="Arial"/>
                <w:sz w:val="22"/>
                <w:szCs w:val="22"/>
              </w:rPr>
              <w:t>2015</w:t>
            </w:r>
          </w:p>
        </w:tc>
      </w:tr>
      <w:tr w:rsidR="001F1255" w:rsidTr="00210CAE">
        <w:trPr>
          <w:trHeight w:val="117"/>
        </w:trPr>
        <w:tc>
          <w:tcPr>
            <w:tcW w:w="2810" w:type="dxa"/>
            <w:tcBorders>
              <w:top w:val="single" w:sz="4" w:space="0" w:color="00000A"/>
            </w:tcBorders>
            <w:shd w:val="clear" w:color="auto" w:fill="auto"/>
          </w:tcPr>
          <w:p w:rsidR="001F1255" w:rsidRDefault="001F1255">
            <w:pPr>
              <w:rPr>
                <w:rFonts w:cs="Arial"/>
                <w:sz w:val="22"/>
                <w:szCs w:val="22"/>
              </w:rPr>
            </w:pPr>
          </w:p>
        </w:tc>
        <w:tc>
          <w:tcPr>
            <w:tcW w:w="1466" w:type="dxa"/>
            <w:tcBorders>
              <w:top w:val="single" w:sz="4" w:space="0" w:color="00000A"/>
            </w:tcBorders>
            <w:shd w:val="clear" w:color="auto" w:fill="auto"/>
          </w:tcPr>
          <w:p w:rsidR="001F1255" w:rsidRDefault="001F1255">
            <w:pPr>
              <w:jc w:val="right"/>
              <w:rPr>
                <w:rFonts w:cs="Arial"/>
                <w:sz w:val="22"/>
                <w:szCs w:val="22"/>
              </w:rPr>
            </w:pPr>
          </w:p>
        </w:tc>
        <w:tc>
          <w:tcPr>
            <w:tcW w:w="2044" w:type="dxa"/>
            <w:tcBorders>
              <w:top w:val="single" w:sz="4" w:space="0" w:color="00000A"/>
            </w:tcBorders>
            <w:shd w:val="clear" w:color="auto" w:fill="auto"/>
          </w:tcPr>
          <w:p w:rsidR="001F1255" w:rsidRDefault="001F1255">
            <w:pPr>
              <w:ind w:left="46" w:hanging="46"/>
              <w:jc w:val="right"/>
              <w:rPr>
                <w:rFonts w:cs="Arial"/>
                <w:sz w:val="22"/>
                <w:szCs w:val="22"/>
              </w:rPr>
            </w:pPr>
          </w:p>
        </w:tc>
      </w:tr>
      <w:tr w:rsidR="001F1255" w:rsidTr="00210CAE">
        <w:tc>
          <w:tcPr>
            <w:tcW w:w="2810" w:type="dxa"/>
            <w:shd w:val="clear" w:color="auto" w:fill="auto"/>
            <w:vAlign w:val="bottom"/>
          </w:tcPr>
          <w:p w:rsidR="001F1255" w:rsidRDefault="00770F49">
            <w:pPr>
              <w:jc w:val="left"/>
              <w:rPr>
                <w:rFonts w:cs="Arial"/>
                <w:sz w:val="22"/>
                <w:szCs w:val="22"/>
              </w:rPr>
            </w:pPr>
            <w:r>
              <w:rPr>
                <w:rFonts w:cs="Arial"/>
                <w:sz w:val="22"/>
                <w:szCs w:val="22"/>
              </w:rPr>
              <w:t>Suspension</w:t>
            </w:r>
          </w:p>
        </w:tc>
        <w:tc>
          <w:tcPr>
            <w:tcW w:w="1466" w:type="dxa"/>
            <w:shd w:val="clear" w:color="auto" w:fill="auto"/>
          </w:tcPr>
          <w:p w:rsidR="001F1255" w:rsidRDefault="00770F49">
            <w:pPr>
              <w:jc w:val="right"/>
              <w:rPr>
                <w:rFonts w:cs="Arial"/>
                <w:sz w:val="22"/>
                <w:szCs w:val="22"/>
              </w:rPr>
            </w:pPr>
            <w:r>
              <w:rPr>
                <w:rFonts w:cs="Arial"/>
                <w:sz w:val="22"/>
                <w:szCs w:val="22"/>
              </w:rPr>
              <w:t>0</w:t>
            </w:r>
          </w:p>
        </w:tc>
        <w:tc>
          <w:tcPr>
            <w:tcW w:w="2044" w:type="dxa"/>
            <w:shd w:val="clear" w:color="auto" w:fill="auto"/>
          </w:tcPr>
          <w:p w:rsidR="001F1255" w:rsidRDefault="00770F49">
            <w:pPr>
              <w:ind w:left="46" w:hanging="46"/>
              <w:jc w:val="right"/>
              <w:rPr>
                <w:rFonts w:cs="Arial"/>
                <w:sz w:val="22"/>
                <w:szCs w:val="22"/>
              </w:rPr>
            </w:pPr>
            <w:r>
              <w:rPr>
                <w:rFonts w:cs="Arial"/>
                <w:sz w:val="22"/>
                <w:szCs w:val="22"/>
              </w:rPr>
              <w:t>0</w:t>
            </w:r>
          </w:p>
        </w:tc>
      </w:tr>
      <w:tr w:rsidR="001F1255" w:rsidTr="00210CAE">
        <w:tc>
          <w:tcPr>
            <w:tcW w:w="2810" w:type="dxa"/>
            <w:shd w:val="clear" w:color="auto" w:fill="auto"/>
            <w:vAlign w:val="bottom"/>
          </w:tcPr>
          <w:p w:rsidR="001F1255" w:rsidRDefault="00770F49">
            <w:pPr>
              <w:jc w:val="left"/>
              <w:rPr>
                <w:rFonts w:cs="Arial"/>
                <w:sz w:val="22"/>
                <w:szCs w:val="22"/>
              </w:rPr>
            </w:pPr>
            <w:r>
              <w:rPr>
                <w:rFonts w:cs="Arial"/>
                <w:sz w:val="22"/>
                <w:szCs w:val="22"/>
              </w:rPr>
              <w:t>Disallowances</w:t>
            </w:r>
          </w:p>
        </w:tc>
        <w:tc>
          <w:tcPr>
            <w:tcW w:w="1466" w:type="dxa"/>
            <w:shd w:val="clear" w:color="auto" w:fill="auto"/>
          </w:tcPr>
          <w:p w:rsidR="001F1255" w:rsidRDefault="00770F49">
            <w:pPr>
              <w:jc w:val="right"/>
              <w:rPr>
                <w:rFonts w:cs="Arial"/>
                <w:sz w:val="22"/>
                <w:szCs w:val="22"/>
              </w:rPr>
            </w:pPr>
            <w:r>
              <w:rPr>
                <w:rFonts w:cs="Arial"/>
                <w:sz w:val="22"/>
                <w:szCs w:val="22"/>
              </w:rPr>
              <w:t>7,430,887</w:t>
            </w:r>
          </w:p>
        </w:tc>
        <w:tc>
          <w:tcPr>
            <w:tcW w:w="2044" w:type="dxa"/>
            <w:shd w:val="clear" w:color="auto" w:fill="auto"/>
          </w:tcPr>
          <w:p w:rsidR="001F1255" w:rsidRDefault="00770F49">
            <w:pPr>
              <w:jc w:val="right"/>
              <w:rPr>
                <w:rFonts w:cs="Arial"/>
                <w:sz w:val="22"/>
                <w:szCs w:val="22"/>
              </w:rPr>
            </w:pPr>
            <w:r>
              <w:rPr>
                <w:rFonts w:cs="Arial"/>
                <w:sz w:val="22"/>
                <w:szCs w:val="22"/>
              </w:rPr>
              <w:t>7,430,887</w:t>
            </w:r>
          </w:p>
        </w:tc>
      </w:tr>
      <w:tr w:rsidR="001F1255" w:rsidTr="00210CAE">
        <w:tc>
          <w:tcPr>
            <w:tcW w:w="2810" w:type="dxa"/>
            <w:tcBorders>
              <w:bottom w:val="single" w:sz="4" w:space="0" w:color="00000A"/>
            </w:tcBorders>
            <w:shd w:val="clear" w:color="auto" w:fill="auto"/>
            <w:vAlign w:val="bottom"/>
          </w:tcPr>
          <w:p w:rsidR="001F1255" w:rsidRDefault="00770F49">
            <w:pPr>
              <w:jc w:val="left"/>
              <w:rPr>
                <w:rFonts w:cs="Arial"/>
                <w:sz w:val="22"/>
                <w:szCs w:val="22"/>
              </w:rPr>
            </w:pPr>
            <w:r>
              <w:rPr>
                <w:rFonts w:cs="Arial"/>
                <w:sz w:val="22"/>
                <w:szCs w:val="22"/>
              </w:rPr>
              <w:t>Charges</w:t>
            </w:r>
          </w:p>
        </w:tc>
        <w:tc>
          <w:tcPr>
            <w:tcW w:w="1466" w:type="dxa"/>
            <w:tcBorders>
              <w:bottom w:val="single" w:sz="4" w:space="0" w:color="00000A"/>
            </w:tcBorders>
            <w:shd w:val="clear" w:color="auto" w:fill="auto"/>
          </w:tcPr>
          <w:p w:rsidR="001F1255" w:rsidRDefault="00770F49">
            <w:pPr>
              <w:jc w:val="right"/>
              <w:rPr>
                <w:rFonts w:cs="Arial"/>
                <w:sz w:val="22"/>
                <w:szCs w:val="22"/>
              </w:rPr>
            </w:pPr>
            <w:r>
              <w:rPr>
                <w:rFonts w:cs="Arial"/>
                <w:sz w:val="22"/>
                <w:szCs w:val="22"/>
              </w:rPr>
              <w:t>9,259,741</w:t>
            </w:r>
          </w:p>
        </w:tc>
        <w:tc>
          <w:tcPr>
            <w:tcW w:w="2044" w:type="dxa"/>
            <w:tcBorders>
              <w:bottom w:val="single" w:sz="4" w:space="0" w:color="00000A"/>
            </w:tcBorders>
            <w:shd w:val="clear" w:color="auto" w:fill="auto"/>
          </w:tcPr>
          <w:p w:rsidR="001F1255" w:rsidRDefault="00770F49">
            <w:pPr>
              <w:jc w:val="right"/>
              <w:rPr>
                <w:rFonts w:cs="Arial"/>
                <w:sz w:val="22"/>
                <w:szCs w:val="22"/>
              </w:rPr>
            </w:pPr>
            <w:r>
              <w:rPr>
                <w:rFonts w:cs="Arial"/>
                <w:sz w:val="22"/>
                <w:szCs w:val="22"/>
              </w:rPr>
              <w:t>9,259,741</w:t>
            </w:r>
          </w:p>
        </w:tc>
      </w:tr>
      <w:tr w:rsidR="001F1255" w:rsidTr="00210CAE">
        <w:tc>
          <w:tcPr>
            <w:tcW w:w="2810" w:type="dxa"/>
            <w:tcBorders>
              <w:top w:val="single" w:sz="4" w:space="0" w:color="00000A"/>
              <w:bottom w:val="double" w:sz="4" w:space="0" w:color="00000A"/>
            </w:tcBorders>
            <w:shd w:val="clear" w:color="auto" w:fill="auto"/>
            <w:vAlign w:val="bottom"/>
          </w:tcPr>
          <w:p w:rsidR="001F1255" w:rsidRDefault="00770F49">
            <w:pPr>
              <w:jc w:val="left"/>
              <w:rPr>
                <w:rFonts w:cs="Arial"/>
                <w:sz w:val="22"/>
                <w:szCs w:val="22"/>
              </w:rPr>
            </w:pPr>
            <w:r>
              <w:rPr>
                <w:rFonts w:cs="Arial"/>
                <w:sz w:val="22"/>
                <w:szCs w:val="22"/>
              </w:rPr>
              <w:t>Total</w:t>
            </w:r>
          </w:p>
        </w:tc>
        <w:tc>
          <w:tcPr>
            <w:tcW w:w="1466" w:type="dxa"/>
            <w:tcBorders>
              <w:top w:val="single" w:sz="4" w:space="0" w:color="00000A"/>
              <w:bottom w:val="double" w:sz="4" w:space="0" w:color="00000A"/>
            </w:tcBorders>
            <w:shd w:val="clear" w:color="auto" w:fill="auto"/>
          </w:tcPr>
          <w:p w:rsidR="001F1255" w:rsidRDefault="001F1255">
            <w:pPr>
              <w:jc w:val="right"/>
              <w:rPr>
                <w:rFonts w:cs="Arial"/>
                <w:sz w:val="22"/>
                <w:szCs w:val="22"/>
              </w:rPr>
            </w:pPr>
          </w:p>
          <w:p w:rsidR="001F1255" w:rsidRDefault="00770F49">
            <w:pPr>
              <w:jc w:val="right"/>
              <w:rPr>
                <w:rFonts w:cs="Arial"/>
                <w:sz w:val="22"/>
                <w:szCs w:val="22"/>
              </w:rPr>
            </w:pPr>
            <w:r>
              <w:rPr>
                <w:rFonts w:cs="Arial"/>
                <w:sz w:val="22"/>
                <w:szCs w:val="22"/>
              </w:rPr>
              <w:t>16,690,628</w:t>
            </w:r>
          </w:p>
        </w:tc>
        <w:tc>
          <w:tcPr>
            <w:tcW w:w="2044" w:type="dxa"/>
            <w:tcBorders>
              <w:top w:val="single" w:sz="4" w:space="0" w:color="00000A"/>
              <w:bottom w:val="double" w:sz="4" w:space="0" w:color="00000A"/>
            </w:tcBorders>
            <w:shd w:val="clear" w:color="auto" w:fill="auto"/>
            <w:vAlign w:val="bottom"/>
          </w:tcPr>
          <w:p w:rsidR="001F1255" w:rsidRDefault="00770F49">
            <w:pPr>
              <w:ind w:left="46" w:hanging="46"/>
              <w:jc w:val="right"/>
              <w:rPr>
                <w:rFonts w:cs="Arial"/>
                <w:sz w:val="22"/>
                <w:szCs w:val="22"/>
              </w:rPr>
            </w:pPr>
            <w:r>
              <w:rPr>
                <w:rFonts w:cs="Arial"/>
                <w:sz w:val="22"/>
                <w:szCs w:val="22"/>
              </w:rPr>
              <w:t>16,690,628</w:t>
            </w:r>
          </w:p>
        </w:tc>
      </w:tr>
    </w:tbl>
    <w:p w:rsidR="001F1255" w:rsidRDefault="001F1255">
      <w:pPr>
        <w:rPr>
          <w:rFonts w:cs="Arial"/>
          <w:b/>
          <w:sz w:val="22"/>
          <w:szCs w:val="22"/>
        </w:rPr>
      </w:pPr>
    </w:p>
    <w:p w:rsidR="001F1255" w:rsidRDefault="001F1255" w:rsidP="00A37E7A">
      <w:pPr>
        <w:rPr>
          <w:rFonts w:cs="Arial"/>
          <w:sz w:val="22"/>
          <w:szCs w:val="22"/>
        </w:rPr>
      </w:pPr>
    </w:p>
    <w:p w:rsidR="001F1255" w:rsidRDefault="00770F49">
      <w:pPr>
        <w:pStyle w:val="BlockText"/>
        <w:ind w:left="270" w:right="0"/>
        <w:rPr>
          <w:b/>
          <w:color w:val="00000A"/>
        </w:rPr>
      </w:pPr>
      <w:r>
        <w:rPr>
          <w:b/>
          <w:color w:val="00000A"/>
        </w:rPr>
        <w:t>9.   Other Matters</w:t>
      </w:r>
    </w:p>
    <w:p w:rsidR="001F1255" w:rsidRDefault="001F1255">
      <w:pPr>
        <w:ind w:left="360"/>
        <w:rPr>
          <w:rFonts w:cs="Arial"/>
          <w:sz w:val="22"/>
          <w:szCs w:val="22"/>
        </w:rPr>
      </w:pPr>
    </w:p>
    <w:p w:rsidR="001F1255" w:rsidRDefault="00770F49">
      <w:pPr>
        <w:pStyle w:val="BlockText"/>
        <w:ind w:left="270" w:hanging="270"/>
        <w:rPr>
          <w:b/>
          <w:color w:val="00000A"/>
        </w:rPr>
      </w:pPr>
      <w:r>
        <w:rPr>
          <w:b/>
        </w:rPr>
        <w:t xml:space="preserve">    </w:t>
      </w:r>
      <w:r>
        <w:rPr>
          <w:b/>
          <w:color w:val="00000A"/>
        </w:rPr>
        <w:t>Compliance with Republic Act (RA) 656 and 8291</w:t>
      </w:r>
    </w:p>
    <w:p w:rsidR="001F1255" w:rsidRDefault="00770F49">
      <w:pPr>
        <w:pStyle w:val="BlockText"/>
        <w:ind w:left="270" w:hanging="270"/>
        <w:rPr>
          <w:color w:val="00000A"/>
        </w:rPr>
      </w:pPr>
      <w:r>
        <w:rPr>
          <w:color w:val="00000A"/>
        </w:rPr>
        <w:tab/>
        <w:t xml:space="preserve"> </w:t>
      </w:r>
    </w:p>
    <w:p w:rsidR="001F1255" w:rsidRDefault="00770F49">
      <w:pPr>
        <w:pStyle w:val="BlockText"/>
        <w:ind w:left="270" w:hanging="270"/>
        <w:rPr>
          <w:color w:val="00000A"/>
        </w:rPr>
      </w:pPr>
      <w:r>
        <w:rPr>
          <w:color w:val="00000A"/>
        </w:rPr>
        <w:tab/>
        <w:t xml:space="preserve">PADC has insured its hangars and motor vehicles with GSIS pursuant to RA 656 as amended by Presidential Decree No. 245.  A total of P231,465 has been paid for  insurance premiums in 2016. </w:t>
      </w:r>
    </w:p>
    <w:p w:rsidR="001F1255" w:rsidRDefault="001F1255">
      <w:pPr>
        <w:pStyle w:val="BlockText"/>
        <w:ind w:left="270" w:hanging="270"/>
        <w:rPr>
          <w:color w:val="00000A"/>
        </w:rPr>
      </w:pPr>
    </w:p>
    <w:p w:rsidR="001F1255" w:rsidRDefault="00770F49">
      <w:pPr>
        <w:pStyle w:val="BlockText"/>
        <w:ind w:left="270" w:hanging="270"/>
        <w:rPr>
          <w:color w:val="00000A"/>
        </w:rPr>
      </w:pPr>
      <w:r>
        <w:rPr>
          <w:color w:val="00000A"/>
        </w:rPr>
        <w:tab/>
        <w:t>PADC has consistently deducted GSIS premiums from the salaries of its officers and employees and remitted the same to the State Insurance Fund (SIF) and Employees Compensation Insurance Fund (ECIF) in accordance with RA 8291.  Total remittances for CY 2016 amounted to P3.435 million.</w:t>
      </w:r>
    </w:p>
    <w:p w:rsidR="001F1255" w:rsidRDefault="001F1255">
      <w:pPr>
        <w:ind w:left="270"/>
      </w:pPr>
    </w:p>
    <w:sectPr w:rsidR="001F1255" w:rsidSect="001F1255">
      <w:footerReference w:type="default" r:id="rId8"/>
      <w:pgSz w:w="12240" w:h="15840"/>
      <w:pgMar w:top="1440" w:right="1440" w:bottom="1440" w:left="1728" w:header="0" w:footer="720" w:gutter="0"/>
      <w:pgNumType w:start="2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9B" w:rsidRDefault="00DD7F9B" w:rsidP="001F1255">
      <w:r>
        <w:separator/>
      </w:r>
    </w:p>
  </w:endnote>
  <w:endnote w:type="continuationSeparator" w:id="0">
    <w:p w:rsidR="00DD7F9B" w:rsidRDefault="00DD7F9B" w:rsidP="001F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621089"/>
      <w:docPartObj>
        <w:docPartGallery w:val="Page Numbers (Bottom of Page)"/>
        <w:docPartUnique/>
      </w:docPartObj>
    </w:sdtPr>
    <w:sdtEndPr/>
    <w:sdtContent>
      <w:p w:rsidR="00770F49" w:rsidRDefault="00E278F4">
        <w:pPr>
          <w:pStyle w:val="Footer"/>
          <w:jc w:val="right"/>
        </w:pPr>
        <w:r>
          <w:fldChar w:fldCharType="begin"/>
        </w:r>
        <w:r>
          <w:instrText>PAGE</w:instrText>
        </w:r>
        <w:r>
          <w:fldChar w:fldCharType="separate"/>
        </w:r>
        <w:r w:rsidR="0089442C">
          <w:rPr>
            <w:noProof/>
          </w:rPr>
          <w:t>20</w:t>
        </w:r>
        <w:r>
          <w:rPr>
            <w:noProof/>
          </w:rPr>
          <w:fldChar w:fldCharType="end"/>
        </w:r>
      </w:p>
    </w:sdtContent>
  </w:sdt>
  <w:p w:rsidR="00770F49" w:rsidRDefault="00770F4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9B" w:rsidRDefault="00DD7F9B" w:rsidP="001F1255">
      <w:r>
        <w:separator/>
      </w:r>
    </w:p>
  </w:footnote>
  <w:footnote w:type="continuationSeparator" w:id="0">
    <w:p w:rsidR="00DD7F9B" w:rsidRDefault="00DD7F9B" w:rsidP="001F1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C37"/>
    <w:multiLevelType w:val="multilevel"/>
    <w:tmpl w:val="D172B5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3A79FA"/>
    <w:multiLevelType w:val="multilevel"/>
    <w:tmpl w:val="368C16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M/GfmfuO5q+EZpRCREBnigX72YuPqYZuQMOcUJRKvQ49QLY+454qBqqovgKxdnCnWldAnXFshzvePELpqMtWQA==" w:salt="CuHcgpFs4egxMr8RL4aFVQ=="/>
  <w:defaultTabStop w:val="432"/>
  <w:characterSpacingControl w:val="doNotCompress"/>
  <w:footnotePr>
    <w:footnote w:id="-1"/>
    <w:footnote w:id="0"/>
  </w:footnotePr>
  <w:endnotePr>
    <w:endnote w:id="-1"/>
    <w:endnote w:id="0"/>
  </w:endnotePr>
  <w:compat>
    <w:compatSetting w:name="compatibilityMode" w:uri="http://schemas.microsoft.com/office/word" w:val="12"/>
  </w:compat>
  <w:rsids>
    <w:rsidRoot w:val="001F1255"/>
    <w:rsid w:val="001918C0"/>
    <w:rsid w:val="001F1255"/>
    <w:rsid w:val="00201B38"/>
    <w:rsid w:val="00210CAE"/>
    <w:rsid w:val="00310B8A"/>
    <w:rsid w:val="00346AC0"/>
    <w:rsid w:val="00496F5F"/>
    <w:rsid w:val="004E3FCA"/>
    <w:rsid w:val="00543DAF"/>
    <w:rsid w:val="007208A4"/>
    <w:rsid w:val="00752A35"/>
    <w:rsid w:val="00770F49"/>
    <w:rsid w:val="0089442C"/>
    <w:rsid w:val="00A37E7A"/>
    <w:rsid w:val="00AF2E02"/>
    <w:rsid w:val="00B139F9"/>
    <w:rsid w:val="00DD7F9B"/>
    <w:rsid w:val="00E278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16F3F-7EA2-4517-8E91-5E8B6D12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1C2"/>
    <w:pPr>
      <w:jc w:val="both"/>
    </w:pPr>
  </w:style>
  <w:style w:type="paragraph" w:styleId="Heading1">
    <w:name w:val="heading 1"/>
    <w:basedOn w:val="Normal"/>
    <w:next w:val="Normal"/>
    <w:link w:val="Heading1Char"/>
    <w:uiPriority w:val="9"/>
    <w:qFormat/>
    <w:rsid w:val="00CA61C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CA61C2"/>
    <w:rPr>
      <w:rFonts w:ascii="Arial" w:eastAsia="Times New Roman" w:hAnsi="Arial" w:cs="Arial"/>
      <w:b/>
      <w:bCs/>
      <w:szCs w:val="24"/>
    </w:rPr>
  </w:style>
  <w:style w:type="character" w:styleId="Emphasis">
    <w:name w:val="Emphasis"/>
    <w:qFormat/>
    <w:rsid w:val="00CE2C9C"/>
    <w:rPr>
      <w:i/>
      <w:iCs/>
    </w:rPr>
  </w:style>
  <w:style w:type="character" w:customStyle="1" w:styleId="HeaderChar">
    <w:name w:val="Header Char"/>
    <w:link w:val="Header"/>
    <w:uiPriority w:val="99"/>
    <w:qFormat/>
    <w:rsid w:val="00043A62"/>
    <w:rPr>
      <w:rFonts w:ascii="Times New Roman" w:eastAsia="Times New Roman" w:hAnsi="Times New Roman" w:cs="Times New Roman"/>
      <w:sz w:val="24"/>
      <w:szCs w:val="24"/>
    </w:rPr>
  </w:style>
  <w:style w:type="character" w:customStyle="1" w:styleId="FooterChar">
    <w:name w:val="Footer Char"/>
    <w:link w:val="Footer"/>
    <w:uiPriority w:val="99"/>
    <w:qFormat/>
    <w:rsid w:val="00043A62"/>
    <w:rPr>
      <w:rFonts w:ascii="Times New Roman" w:eastAsia="Times New Roman" w:hAnsi="Times New Roman" w:cs="Times New Roman"/>
      <w:sz w:val="24"/>
      <w:szCs w:val="24"/>
    </w:rPr>
  </w:style>
  <w:style w:type="character" w:customStyle="1" w:styleId="BalloonTextChar">
    <w:name w:val="Balloon Text Char"/>
    <w:link w:val="BalloonText"/>
    <w:uiPriority w:val="99"/>
    <w:semiHidden/>
    <w:qFormat/>
    <w:rsid w:val="00F85821"/>
    <w:rPr>
      <w:rFonts w:ascii="Tahoma" w:eastAsia="Times New Roman" w:hAnsi="Tahoma" w:cs="Tahoma"/>
      <w:sz w:val="16"/>
      <w:szCs w:val="16"/>
    </w:rPr>
  </w:style>
  <w:style w:type="character" w:customStyle="1" w:styleId="SubtitleChar">
    <w:name w:val="Subtitle Char"/>
    <w:link w:val="Subtitle"/>
    <w:uiPriority w:val="11"/>
    <w:qFormat/>
    <w:rsid w:val="003C399F"/>
    <w:rPr>
      <w:rFonts w:ascii="Cambria" w:eastAsia="Times New Roman" w:hAnsi="Cambria" w:cs="Times New Roman"/>
      <w:sz w:val="24"/>
      <w:szCs w:val="24"/>
    </w:rPr>
  </w:style>
  <w:style w:type="character" w:customStyle="1" w:styleId="BodyTextIndentChar">
    <w:name w:val="Body Text Indent Char"/>
    <w:link w:val="BodyTextIndent"/>
    <w:qFormat/>
    <w:rsid w:val="00F937F1"/>
    <w:rPr>
      <w:rFonts w:ascii="Times New Roman" w:eastAsia="Times New Roman" w:hAnsi="Times New Roman"/>
      <w:sz w:val="24"/>
      <w:szCs w:val="24"/>
    </w:rPr>
  </w:style>
  <w:style w:type="character" w:customStyle="1" w:styleId="BodyText2Char">
    <w:name w:val="Body Text 2 Char"/>
    <w:link w:val="BodyText2"/>
    <w:qFormat/>
    <w:rsid w:val="00F937F1"/>
    <w:rPr>
      <w:rFonts w:ascii="Times New Roman" w:eastAsia="Times New Roman" w:hAnsi="Times New Roman"/>
      <w:sz w:val="24"/>
    </w:rPr>
  </w:style>
  <w:style w:type="character" w:styleId="LineNumber">
    <w:name w:val="line number"/>
    <w:basedOn w:val="DefaultParagraphFont"/>
    <w:uiPriority w:val="99"/>
    <w:semiHidden/>
    <w:unhideWhenUsed/>
    <w:qFormat/>
    <w:rsid w:val="00945F06"/>
  </w:style>
  <w:style w:type="character" w:customStyle="1" w:styleId="ListLabel1">
    <w:name w:val="ListLabel 1"/>
    <w:qFormat/>
    <w:rsid w:val="00896F1B"/>
    <w:rPr>
      <w:rFonts w:cs="Times New Roman"/>
      <w:b/>
    </w:rPr>
  </w:style>
  <w:style w:type="character" w:customStyle="1" w:styleId="ListLabel2">
    <w:name w:val="ListLabel 2"/>
    <w:qFormat/>
    <w:rsid w:val="00896F1B"/>
    <w:rPr>
      <w:rFonts w:cs="Times New Roman"/>
    </w:rPr>
  </w:style>
  <w:style w:type="character" w:customStyle="1" w:styleId="ListLabel3">
    <w:name w:val="ListLabel 3"/>
    <w:qFormat/>
    <w:rsid w:val="00896F1B"/>
    <w:rPr>
      <w:rFonts w:cs="Times New Roman"/>
    </w:rPr>
  </w:style>
  <w:style w:type="character" w:customStyle="1" w:styleId="ListLabel4">
    <w:name w:val="ListLabel 4"/>
    <w:qFormat/>
    <w:rsid w:val="00896F1B"/>
    <w:rPr>
      <w:rFonts w:cs="Times New Roman"/>
    </w:rPr>
  </w:style>
  <w:style w:type="character" w:customStyle="1" w:styleId="ListLabel5">
    <w:name w:val="ListLabel 5"/>
    <w:qFormat/>
    <w:rsid w:val="00896F1B"/>
    <w:rPr>
      <w:rFonts w:cs="Times New Roman"/>
    </w:rPr>
  </w:style>
  <w:style w:type="character" w:customStyle="1" w:styleId="ListLabel6">
    <w:name w:val="ListLabel 6"/>
    <w:qFormat/>
    <w:rsid w:val="00896F1B"/>
    <w:rPr>
      <w:rFonts w:cs="Times New Roman"/>
    </w:rPr>
  </w:style>
  <w:style w:type="character" w:customStyle="1" w:styleId="ListLabel7">
    <w:name w:val="ListLabel 7"/>
    <w:qFormat/>
    <w:rsid w:val="00896F1B"/>
    <w:rPr>
      <w:rFonts w:cs="Times New Roman"/>
    </w:rPr>
  </w:style>
  <w:style w:type="character" w:customStyle="1" w:styleId="ListLabel8">
    <w:name w:val="ListLabel 8"/>
    <w:qFormat/>
    <w:rsid w:val="00896F1B"/>
    <w:rPr>
      <w:rFonts w:cs="Times New Roman"/>
    </w:rPr>
  </w:style>
  <w:style w:type="character" w:customStyle="1" w:styleId="ListLabel9">
    <w:name w:val="ListLabel 9"/>
    <w:qFormat/>
    <w:rsid w:val="00896F1B"/>
    <w:rPr>
      <w:rFonts w:cs="Times New Roman"/>
    </w:rPr>
  </w:style>
  <w:style w:type="character" w:customStyle="1" w:styleId="ListLabel10">
    <w:name w:val="ListLabel 10"/>
    <w:qFormat/>
    <w:rsid w:val="00896F1B"/>
    <w:rPr>
      <w:b/>
    </w:rPr>
  </w:style>
  <w:style w:type="character" w:customStyle="1" w:styleId="ListLabel11">
    <w:name w:val="ListLabel 11"/>
    <w:qFormat/>
    <w:rsid w:val="00896F1B"/>
    <w:rPr>
      <w:rFonts w:eastAsia="Times New Roman" w:cs="Arial"/>
    </w:rPr>
  </w:style>
  <w:style w:type="character" w:customStyle="1" w:styleId="ListLabel12">
    <w:name w:val="ListLabel 12"/>
    <w:qFormat/>
    <w:rsid w:val="00896F1B"/>
    <w:rPr>
      <w:b/>
    </w:rPr>
  </w:style>
  <w:style w:type="character" w:customStyle="1" w:styleId="ListLabel13">
    <w:name w:val="ListLabel 13"/>
    <w:qFormat/>
    <w:rsid w:val="00896F1B"/>
    <w:rPr>
      <w:b/>
    </w:rPr>
  </w:style>
  <w:style w:type="character" w:customStyle="1" w:styleId="ListLabel14">
    <w:name w:val="ListLabel 14"/>
    <w:qFormat/>
    <w:rsid w:val="00896F1B"/>
    <w:rPr>
      <w:b/>
    </w:rPr>
  </w:style>
  <w:style w:type="character" w:customStyle="1" w:styleId="ListLabel15">
    <w:name w:val="ListLabel 15"/>
    <w:qFormat/>
    <w:rsid w:val="00896F1B"/>
    <w:rPr>
      <w:b/>
    </w:rPr>
  </w:style>
  <w:style w:type="paragraph" w:customStyle="1" w:styleId="Heading">
    <w:name w:val="Heading"/>
    <w:basedOn w:val="Normal"/>
    <w:next w:val="BodyText"/>
    <w:qFormat/>
    <w:rsid w:val="00896F1B"/>
    <w:pPr>
      <w:keepNext/>
      <w:spacing w:before="240" w:after="120"/>
    </w:pPr>
    <w:rPr>
      <w:rFonts w:ascii="Liberation Sans" w:eastAsia="Microsoft YaHei" w:hAnsi="Liberation Sans" w:cs="Mangal"/>
      <w:sz w:val="28"/>
      <w:szCs w:val="28"/>
    </w:rPr>
  </w:style>
  <w:style w:type="paragraph" w:styleId="BodyText">
    <w:name w:val="Body Text"/>
    <w:basedOn w:val="Normal"/>
    <w:rsid w:val="00896F1B"/>
    <w:pPr>
      <w:spacing w:after="140" w:line="288" w:lineRule="auto"/>
    </w:pPr>
  </w:style>
  <w:style w:type="paragraph" w:styleId="List">
    <w:name w:val="List"/>
    <w:basedOn w:val="BodyText"/>
    <w:rsid w:val="00896F1B"/>
    <w:rPr>
      <w:rFonts w:cs="Mangal"/>
    </w:rPr>
  </w:style>
  <w:style w:type="paragraph" w:styleId="Caption">
    <w:name w:val="caption"/>
    <w:basedOn w:val="Normal"/>
    <w:qFormat/>
    <w:rsid w:val="00896F1B"/>
    <w:pPr>
      <w:suppressLineNumbers/>
      <w:spacing w:before="120" w:after="120"/>
    </w:pPr>
    <w:rPr>
      <w:rFonts w:cs="Mangal"/>
      <w:i/>
      <w:iCs/>
    </w:rPr>
  </w:style>
  <w:style w:type="paragraph" w:customStyle="1" w:styleId="Index">
    <w:name w:val="Index"/>
    <w:basedOn w:val="Normal"/>
    <w:qFormat/>
    <w:rsid w:val="00896F1B"/>
    <w:pPr>
      <w:suppressLineNumbers/>
    </w:pPr>
    <w:rPr>
      <w:rFonts w:cs="Mangal"/>
    </w:rPr>
  </w:style>
  <w:style w:type="paragraph" w:styleId="ListParagraph">
    <w:name w:val="List Paragraph"/>
    <w:basedOn w:val="Normal"/>
    <w:uiPriority w:val="34"/>
    <w:qFormat/>
    <w:rsid w:val="00CE2C9C"/>
    <w:pPr>
      <w:ind w:left="720"/>
      <w:contextualSpacing/>
    </w:pPr>
  </w:style>
  <w:style w:type="paragraph" w:styleId="Header">
    <w:name w:val="header"/>
    <w:basedOn w:val="Normal"/>
    <w:link w:val="HeaderChar"/>
    <w:uiPriority w:val="99"/>
    <w:unhideWhenUsed/>
    <w:rsid w:val="00043A62"/>
    <w:pPr>
      <w:tabs>
        <w:tab w:val="center" w:pos="4680"/>
        <w:tab w:val="right" w:pos="9360"/>
      </w:tabs>
    </w:pPr>
  </w:style>
  <w:style w:type="paragraph" w:styleId="Footer">
    <w:name w:val="footer"/>
    <w:basedOn w:val="Normal"/>
    <w:link w:val="FooterChar"/>
    <w:uiPriority w:val="99"/>
    <w:unhideWhenUsed/>
    <w:rsid w:val="00043A62"/>
    <w:pPr>
      <w:tabs>
        <w:tab w:val="center" w:pos="4680"/>
        <w:tab w:val="right" w:pos="9360"/>
      </w:tabs>
    </w:pPr>
  </w:style>
  <w:style w:type="paragraph" w:styleId="BalloonText">
    <w:name w:val="Balloon Text"/>
    <w:basedOn w:val="Normal"/>
    <w:link w:val="BalloonTextChar"/>
    <w:uiPriority w:val="99"/>
    <w:semiHidden/>
    <w:unhideWhenUsed/>
    <w:qFormat/>
    <w:rsid w:val="00F85821"/>
    <w:rPr>
      <w:rFonts w:ascii="Tahoma" w:hAnsi="Tahoma"/>
      <w:sz w:val="16"/>
      <w:szCs w:val="16"/>
    </w:rPr>
  </w:style>
  <w:style w:type="paragraph" w:styleId="NoSpacing">
    <w:name w:val="No Spacing"/>
    <w:uiPriority w:val="1"/>
    <w:qFormat/>
    <w:rsid w:val="00971CFB"/>
    <w:pPr>
      <w:jc w:val="both"/>
    </w:pPr>
    <w:rPr>
      <w:rFonts w:ascii="Times New Roman" w:eastAsia="Times New Roman" w:hAnsi="Times New Roman"/>
      <w:sz w:val="24"/>
    </w:rPr>
  </w:style>
  <w:style w:type="paragraph" w:styleId="BlockText">
    <w:name w:val="Block Text"/>
    <w:basedOn w:val="Normal"/>
    <w:qFormat/>
    <w:rsid w:val="002C0468"/>
    <w:pPr>
      <w:tabs>
        <w:tab w:val="left" w:pos="7740"/>
      </w:tabs>
      <w:ind w:left="360" w:right="-241" w:hanging="360"/>
    </w:pPr>
    <w:rPr>
      <w:rFonts w:cs="Arial"/>
      <w:color w:val="A6A6A6"/>
      <w:sz w:val="22"/>
      <w:szCs w:val="22"/>
      <w:lang w:bidi="en-US"/>
    </w:rPr>
  </w:style>
  <w:style w:type="paragraph" w:styleId="Subtitle">
    <w:name w:val="Subtitle"/>
    <w:basedOn w:val="Normal"/>
    <w:next w:val="Normal"/>
    <w:link w:val="SubtitleChar"/>
    <w:uiPriority w:val="11"/>
    <w:qFormat/>
    <w:rsid w:val="003C399F"/>
    <w:pPr>
      <w:spacing w:after="60"/>
      <w:jc w:val="center"/>
      <w:outlineLvl w:val="1"/>
    </w:pPr>
    <w:rPr>
      <w:rFonts w:ascii="Cambria" w:hAnsi="Cambria"/>
    </w:rPr>
  </w:style>
  <w:style w:type="paragraph" w:styleId="BodyTextIndent">
    <w:name w:val="Body Text Indent"/>
    <w:basedOn w:val="Normal"/>
    <w:link w:val="BodyTextIndentChar"/>
    <w:rsid w:val="00F937F1"/>
    <w:pPr>
      <w:widowControl w:val="0"/>
      <w:spacing w:line="360" w:lineRule="atLeast"/>
      <w:ind w:left="360"/>
      <w:textAlignment w:val="baseline"/>
    </w:pPr>
  </w:style>
  <w:style w:type="paragraph" w:styleId="BodyText2">
    <w:name w:val="Body Text 2"/>
    <w:basedOn w:val="Normal"/>
    <w:link w:val="BodyText2Char"/>
    <w:qFormat/>
    <w:rsid w:val="00F937F1"/>
    <w:pPr>
      <w:widowControl w:val="0"/>
      <w:spacing w:line="360" w:lineRule="atLeast"/>
      <w:textAlignment w:val="baseline"/>
    </w:pPr>
    <w:rPr>
      <w:szCs w:val="20"/>
    </w:rPr>
  </w:style>
  <w:style w:type="paragraph" w:styleId="NormalWeb">
    <w:name w:val="Normal (Web)"/>
    <w:basedOn w:val="Normal"/>
    <w:uiPriority w:val="99"/>
    <w:unhideWhenUsed/>
    <w:qFormat/>
    <w:rsid w:val="00CD0A30"/>
    <w:pPr>
      <w:spacing w:beforeAutospacing="1" w:afterAutospacing="1"/>
      <w:jc w:val="left"/>
    </w:pPr>
  </w:style>
  <w:style w:type="table" w:styleId="TableGrid">
    <w:name w:val="Table Grid"/>
    <w:basedOn w:val="TableNormal"/>
    <w:uiPriority w:val="59"/>
    <w:rsid w:val="00BC3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15DB6-FF55-477E-97E1-AFC04023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Audit Observations and Recommendations</vt:lpstr>
    </vt:vector>
  </TitlesOfParts>
  <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Observations and Recommendations</dc:title>
  <dc:creator>COA- Philippine Aerospace Development Corporation</dc:creator>
  <cp:lastModifiedBy>Judivina Antonette P. Canlas</cp:lastModifiedBy>
  <cp:revision>2</cp:revision>
  <cp:lastPrinted>2017-06-23T04:13:00Z</cp:lastPrinted>
  <dcterms:created xsi:type="dcterms:W3CDTF">2017-06-23T01:19:00Z</dcterms:created>
  <dcterms:modified xsi:type="dcterms:W3CDTF">2017-06-29T09:06:00Z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PADC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