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61C2" w:rsidRPr="00834D8A" w:rsidRDefault="00927002" w:rsidP="00CA61C2">
      <w:pPr>
        <w:pStyle w:val="Heading1"/>
        <w:pBdr>
          <w:bottom w:val="single" w:sz="12" w:space="1" w:color="auto"/>
        </w:pBdr>
        <w:jc w:val="left"/>
        <w:rPr>
          <w:sz w:val="22"/>
          <w:szCs w:val="22"/>
        </w:rPr>
      </w:pPr>
      <w:bookmarkStart w:id="0" w:name="_GoBack"/>
      <w:bookmarkEnd w:id="0"/>
      <w:r w:rsidRPr="00834D8A">
        <w:rPr>
          <w:sz w:val="22"/>
          <w:szCs w:val="22"/>
        </w:rPr>
        <w:t>AUDIT OB</w:t>
      </w:r>
      <w:r w:rsidR="00CA61C2" w:rsidRPr="00834D8A">
        <w:rPr>
          <w:sz w:val="22"/>
          <w:szCs w:val="22"/>
        </w:rPr>
        <w:t>SERVATIONS</w:t>
      </w:r>
      <w:r w:rsidRPr="00834D8A">
        <w:rPr>
          <w:sz w:val="22"/>
          <w:szCs w:val="22"/>
        </w:rPr>
        <w:t xml:space="preserve"> AND RECOMMENDATIONS</w:t>
      </w:r>
    </w:p>
    <w:p w:rsidR="00CE2C9C" w:rsidRPr="002B2CE1" w:rsidRDefault="00CE2C9C" w:rsidP="00CE2C9C">
      <w:pPr>
        <w:rPr>
          <w:rFonts w:ascii="Arial" w:hAnsi="Arial" w:cs="Arial"/>
          <w:sz w:val="22"/>
          <w:szCs w:val="22"/>
        </w:rPr>
      </w:pPr>
    </w:p>
    <w:p w:rsidR="0012093D" w:rsidRDefault="0012093D" w:rsidP="00CE2C9C">
      <w:pPr>
        <w:rPr>
          <w:rFonts w:ascii="Arial" w:hAnsi="Arial" w:cs="Arial"/>
          <w:sz w:val="22"/>
          <w:szCs w:val="22"/>
        </w:rPr>
      </w:pPr>
    </w:p>
    <w:p w:rsidR="00E72849" w:rsidRPr="00004A26" w:rsidRDefault="00834D8A" w:rsidP="00E72849">
      <w:pPr>
        <w:pStyle w:val="ListParagraph"/>
        <w:numPr>
          <w:ilvl w:val="0"/>
          <w:numId w:val="35"/>
        </w:numPr>
        <w:rPr>
          <w:rFonts w:ascii="Arial" w:hAnsi="Arial" w:cs="Arial"/>
          <w:b/>
          <w:sz w:val="22"/>
          <w:szCs w:val="22"/>
        </w:rPr>
      </w:pPr>
      <w:r w:rsidRPr="00004A26">
        <w:rPr>
          <w:rFonts w:ascii="Arial" w:hAnsi="Arial" w:cs="Arial"/>
          <w:b/>
          <w:sz w:val="22"/>
          <w:szCs w:val="22"/>
        </w:rPr>
        <w:t>The allowance for inventory obsolescence o</w:t>
      </w:r>
      <w:r w:rsidR="00004A26" w:rsidRPr="00004A26">
        <w:rPr>
          <w:rFonts w:ascii="Arial" w:hAnsi="Arial" w:cs="Arial"/>
          <w:b/>
          <w:sz w:val="22"/>
          <w:szCs w:val="22"/>
        </w:rPr>
        <w:t>n</w:t>
      </w:r>
      <w:r w:rsidRPr="00004A26">
        <w:rPr>
          <w:rFonts w:ascii="Arial" w:hAnsi="Arial" w:cs="Arial"/>
          <w:b/>
          <w:sz w:val="22"/>
          <w:szCs w:val="22"/>
        </w:rPr>
        <w:t xml:space="preserve"> unserviceable aircraft inventory is understated by P</w:t>
      </w:r>
      <w:r w:rsidR="00E72849" w:rsidRPr="00004A26">
        <w:rPr>
          <w:rFonts w:ascii="Arial" w:hAnsi="Arial" w:cs="Arial"/>
          <w:b/>
          <w:sz w:val="22"/>
          <w:szCs w:val="22"/>
        </w:rPr>
        <w:t>17</w:t>
      </w:r>
      <w:r w:rsidRPr="00004A26">
        <w:rPr>
          <w:rFonts w:ascii="Arial" w:hAnsi="Arial" w:cs="Arial"/>
          <w:b/>
          <w:sz w:val="22"/>
          <w:szCs w:val="22"/>
        </w:rPr>
        <w:t>.</w:t>
      </w:r>
      <w:r w:rsidR="00E72849" w:rsidRPr="00004A26">
        <w:rPr>
          <w:rFonts w:ascii="Arial" w:hAnsi="Arial" w:cs="Arial"/>
          <w:b/>
          <w:sz w:val="22"/>
          <w:szCs w:val="22"/>
        </w:rPr>
        <w:t>355</w:t>
      </w:r>
      <w:r w:rsidRPr="00004A26">
        <w:rPr>
          <w:rFonts w:ascii="Arial" w:hAnsi="Arial" w:cs="Arial"/>
          <w:b/>
          <w:sz w:val="22"/>
          <w:szCs w:val="22"/>
        </w:rPr>
        <w:t xml:space="preserve"> million</w:t>
      </w:r>
      <w:r w:rsidR="00E72849" w:rsidRPr="00004A26">
        <w:rPr>
          <w:rFonts w:ascii="Arial" w:hAnsi="Arial" w:cs="Arial"/>
          <w:b/>
          <w:sz w:val="22"/>
          <w:szCs w:val="22"/>
        </w:rPr>
        <w:t xml:space="preserve">, </w:t>
      </w:r>
      <w:r w:rsidR="002573AF">
        <w:rPr>
          <w:rFonts w:ascii="Arial" w:hAnsi="Arial" w:cs="Arial"/>
          <w:b/>
          <w:sz w:val="22"/>
          <w:szCs w:val="22"/>
        </w:rPr>
        <w:t xml:space="preserve">thus </w:t>
      </w:r>
      <w:r w:rsidR="00E72849" w:rsidRPr="00004A26">
        <w:rPr>
          <w:rFonts w:ascii="Arial" w:hAnsi="Arial" w:cs="Arial"/>
          <w:b/>
          <w:sz w:val="22"/>
          <w:szCs w:val="22"/>
        </w:rPr>
        <w:t xml:space="preserve">overstating the </w:t>
      </w:r>
      <w:r w:rsidR="00004A26" w:rsidRPr="00004A26">
        <w:rPr>
          <w:rFonts w:ascii="Arial" w:hAnsi="Arial" w:cs="Arial"/>
          <w:b/>
          <w:sz w:val="22"/>
          <w:szCs w:val="22"/>
        </w:rPr>
        <w:t xml:space="preserve">reported </w:t>
      </w:r>
      <w:r w:rsidR="00E72849" w:rsidRPr="00004A26">
        <w:rPr>
          <w:rFonts w:ascii="Arial" w:hAnsi="Arial" w:cs="Arial"/>
          <w:b/>
          <w:sz w:val="22"/>
          <w:szCs w:val="22"/>
        </w:rPr>
        <w:t>net realizable value (NRV) and understating expenses for CY 2015 by th</w:t>
      </w:r>
      <w:r w:rsidR="00004A26" w:rsidRPr="00004A26">
        <w:rPr>
          <w:rFonts w:ascii="Arial" w:hAnsi="Arial" w:cs="Arial"/>
          <w:b/>
          <w:sz w:val="22"/>
          <w:szCs w:val="22"/>
        </w:rPr>
        <w:t>e same</w:t>
      </w:r>
      <w:r w:rsidR="00E72849" w:rsidRPr="00004A26">
        <w:rPr>
          <w:rFonts w:ascii="Arial" w:hAnsi="Arial" w:cs="Arial"/>
          <w:b/>
          <w:sz w:val="22"/>
          <w:szCs w:val="22"/>
        </w:rPr>
        <w:t xml:space="preserve"> amount. </w:t>
      </w:r>
      <w:r w:rsidR="00004A26" w:rsidRPr="00004A26">
        <w:rPr>
          <w:rFonts w:ascii="Arial" w:hAnsi="Arial" w:cs="Arial"/>
          <w:b/>
          <w:sz w:val="22"/>
          <w:szCs w:val="22"/>
        </w:rPr>
        <w:t xml:space="preserve">Further, </w:t>
      </w:r>
      <w:r w:rsidR="00E72849" w:rsidRPr="00004A26">
        <w:rPr>
          <w:rFonts w:ascii="Arial" w:hAnsi="Arial" w:cs="Arial"/>
          <w:b/>
          <w:sz w:val="22"/>
          <w:szCs w:val="22"/>
        </w:rPr>
        <w:t xml:space="preserve"> the gross </w:t>
      </w:r>
      <w:r w:rsidR="00004A26">
        <w:rPr>
          <w:rFonts w:ascii="Arial" w:hAnsi="Arial" w:cs="Arial"/>
          <w:b/>
          <w:sz w:val="22"/>
          <w:szCs w:val="22"/>
        </w:rPr>
        <w:t>b</w:t>
      </w:r>
      <w:r w:rsidR="00E72849" w:rsidRPr="00004A26">
        <w:rPr>
          <w:rFonts w:ascii="Arial" w:hAnsi="Arial" w:cs="Arial"/>
          <w:b/>
          <w:sz w:val="22"/>
          <w:szCs w:val="22"/>
        </w:rPr>
        <w:t>a</w:t>
      </w:r>
      <w:r w:rsidR="00004A26">
        <w:rPr>
          <w:rFonts w:ascii="Arial" w:hAnsi="Arial" w:cs="Arial"/>
          <w:b/>
          <w:sz w:val="22"/>
          <w:szCs w:val="22"/>
        </w:rPr>
        <w:t>lance</w:t>
      </w:r>
      <w:r w:rsidR="00E72849" w:rsidRPr="00004A26">
        <w:rPr>
          <w:rFonts w:ascii="Arial" w:hAnsi="Arial" w:cs="Arial"/>
          <w:b/>
          <w:sz w:val="22"/>
          <w:szCs w:val="22"/>
        </w:rPr>
        <w:t xml:space="preserve"> of P69</w:t>
      </w:r>
      <w:r w:rsidR="00004A26">
        <w:rPr>
          <w:rFonts w:ascii="Arial" w:hAnsi="Arial" w:cs="Arial"/>
          <w:b/>
          <w:sz w:val="22"/>
          <w:szCs w:val="22"/>
        </w:rPr>
        <w:t>.</w:t>
      </w:r>
      <w:r w:rsidR="00E72849" w:rsidRPr="00004A26">
        <w:rPr>
          <w:rFonts w:ascii="Arial" w:hAnsi="Arial" w:cs="Arial"/>
          <w:b/>
          <w:sz w:val="22"/>
          <w:szCs w:val="22"/>
        </w:rPr>
        <w:t xml:space="preserve">944 </w:t>
      </w:r>
      <w:r w:rsidR="00004A26">
        <w:rPr>
          <w:rFonts w:ascii="Arial" w:hAnsi="Arial" w:cs="Arial"/>
          <w:b/>
          <w:sz w:val="22"/>
          <w:szCs w:val="22"/>
        </w:rPr>
        <w:t xml:space="preserve">million of aircraft parts inventory carried over to </w:t>
      </w:r>
      <w:r w:rsidR="00E72849" w:rsidRPr="00004A26">
        <w:rPr>
          <w:rFonts w:ascii="Arial" w:hAnsi="Arial" w:cs="Arial"/>
          <w:b/>
          <w:sz w:val="22"/>
          <w:szCs w:val="22"/>
        </w:rPr>
        <w:t xml:space="preserve">the Notes to Financial Statements </w:t>
      </w:r>
      <w:r w:rsidR="00004A26">
        <w:rPr>
          <w:rFonts w:ascii="Arial" w:hAnsi="Arial" w:cs="Arial"/>
          <w:b/>
          <w:sz w:val="22"/>
          <w:szCs w:val="22"/>
        </w:rPr>
        <w:t>is not reconciled with the balance in</w:t>
      </w:r>
      <w:r w:rsidR="002E6E36" w:rsidRPr="00004A26">
        <w:rPr>
          <w:rFonts w:ascii="Arial" w:hAnsi="Arial" w:cs="Arial"/>
          <w:b/>
          <w:sz w:val="22"/>
          <w:szCs w:val="22"/>
        </w:rPr>
        <w:t xml:space="preserve"> the 2015 Aircraft Spare Parts Inventory Report</w:t>
      </w:r>
      <w:r w:rsidR="00004A26">
        <w:rPr>
          <w:rFonts w:ascii="Arial" w:hAnsi="Arial" w:cs="Arial"/>
          <w:b/>
          <w:sz w:val="22"/>
          <w:szCs w:val="22"/>
        </w:rPr>
        <w:t xml:space="preserve"> of P56.012 million, for a discrepancy</w:t>
      </w:r>
      <w:r w:rsidR="002E6E36" w:rsidRPr="00004A26">
        <w:rPr>
          <w:rFonts w:ascii="Arial" w:hAnsi="Arial" w:cs="Arial"/>
          <w:b/>
          <w:sz w:val="22"/>
          <w:szCs w:val="22"/>
        </w:rPr>
        <w:t xml:space="preserve"> of P13</w:t>
      </w:r>
      <w:r w:rsidR="00004A26">
        <w:rPr>
          <w:rFonts w:ascii="Arial" w:hAnsi="Arial" w:cs="Arial"/>
          <w:b/>
          <w:sz w:val="22"/>
          <w:szCs w:val="22"/>
        </w:rPr>
        <w:t>.</w:t>
      </w:r>
      <w:r w:rsidR="002E6E36" w:rsidRPr="00004A26">
        <w:rPr>
          <w:rFonts w:ascii="Arial" w:hAnsi="Arial" w:cs="Arial"/>
          <w:b/>
          <w:sz w:val="22"/>
          <w:szCs w:val="22"/>
        </w:rPr>
        <w:t>932</w:t>
      </w:r>
      <w:r w:rsidR="00004A26">
        <w:rPr>
          <w:rFonts w:ascii="Arial" w:hAnsi="Arial" w:cs="Arial"/>
          <w:b/>
          <w:sz w:val="22"/>
          <w:szCs w:val="22"/>
        </w:rPr>
        <w:t xml:space="preserve"> million</w:t>
      </w:r>
      <w:r w:rsidR="002E6E36" w:rsidRPr="00004A26">
        <w:rPr>
          <w:rFonts w:ascii="Arial" w:hAnsi="Arial" w:cs="Arial"/>
          <w:b/>
          <w:sz w:val="22"/>
          <w:szCs w:val="22"/>
        </w:rPr>
        <w:t xml:space="preserve">. </w:t>
      </w:r>
    </w:p>
    <w:p w:rsidR="00834D8A" w:rsidRDefault="00834D8A" w:rsidP="00834D8A">
      <w:pPr>
        <w:ind w:left="360"/>
        <w:rPr>
          <w:rFonts w:ascii="Arial" w:hAnsi="Arial" w:cs="Arial"/>
          <w:sz w:val="22"/>
          <w:szCs w:val="22"/>
        </w:rPr>
      </w:pPr>
    </w:p>
    <w:p w:rsidR="00834D8A" w:rsidRDefault="00D811F5" w:rsidP="00AD5892">
      <w:pPr>
        <w:ind w:left="360"/>
        <w:rPr>
          <w:rFonts w:ascii="Arial" w:hAnsi="Arial" w:cs="Arial"/>
          <w:sz w:val="22"/>
          <w:szCs w:val="22"/>
        </w:rPr>
      </w:pPr>
      <w:r>
        <w:rPr>
          <w:rFonts w:ascii="Arial" w:hAnsi="Arial" w:cs="Arial"/>
          <w:sz w:val="22"/>
          <w:szCs w:val="22"/>
        </w:rPr>
        <w:t xml:space="preserve">International </w:t>
      </w:r>
      <w:r w:rsidRPr="002B2CE1">
        <w:rPr>
          <w:rFonts w:ascii="Arial" w:hAnsi="Arial" w:cs="Arial"/>
          <w:sz w:val="22"/>
          <w:szCs w:val="22"/>
        </w:rPr>
        <w:t>Accounting</w:t>
      </w:r>
      <w:r w:rsidR="00834D8A" w:rsidRPr="002B2CE1">
        <w:rPr>
          <w:rFonts w:ascii="Arial" w:hAnsi="Arial" w:cs="Arial"/>
          <w:sz w:val="22"/>
          <w:szCs w:val="22"/>
        </w:rPr>
        <w:t xml:space="preserve"> Standard (</w:t>
      </w:r>
      <w:r>
        <w:rPr>
          <w:rFonts w:ascii="Arial" w:hAnsi="Arial" w:cs="Arial"/>
          <w:sz w:val="22"/>
          <w:szCs w:val="22"/>
        </w:rPr>
        <w:t>I</w:t>
      </w:r>
      <w:r w:rsidR="00834D8A" w:rsidRPr="002B2CE1">
        <w:rPr>
          <w:rFonts w:ascii="Arial" w:hAnsi="Arial" w:cs="Arial"/>
          <w:sz w:val="22"/>
          <w:szCs w:val="22"/>
        </w:rPr>
        <w:t>AS) No. 2 requires that inventory items be measured at lower of cost or net realizable value (NRV).  This necessitates that a periodic assessment of the items be conducted to determine their commercial value, and to provide an allowance for their obsolescence</w:t>
      </w:r>
      <w:r w:rsidR="00834D8A">
        <w:rPr>
          <w:rFonts w:ascii="Arial" w:hAnsi="Arial" w:cs="Arial"/>
          <w:sz w:val="22"/>
          <w:szCs w:val="22"/>
        </w:rPr>
        <w:t>,</w:t>
      </w:r>
      <w:r w:rsidR="00834D8A" w:rsidRPr="002B2CE1">
        <w:rPr>
          <w:rFonts w:ascii="Arial" w:hAnsi="Arial" w:cs="Arial"/>
          <w:sz w:val="22"/>
          <w:szCs w:val="22"/>
        </w:rPr>
        <w:t xml:space="preserve"> if warranted.  </w:t>
      </w:r>
    </w:p>
    <w:p w:rsidR="00AD5892" w:rsidRDefault="00AD5892" w:rsidP="00AD5892">
      <w:pPr>
        <w:ind w:left="360"/>
        <w:rPr>
          <w:rFonts w:ascii="Arial" w:hAnsi="Arial" w:cs="Arial"/>
          <w:sz w:val="22"/>
          <w:szCs w:val="22"/>
        </w:rPr>
      </w:pPr>
    </w:p>
    <w:p w:rsidR="00AD5892" w:rsidRDefault="00D811F5" w:rsidP="00AD5892">
      <w:pPr>
        <w:ind w:left="360"/>
        <w:rPr>
          <w:rFonts w:ascii="Arial" w:hAnsi="Arial" w:cs="Arial"/>
          <w:sz w:val="22"/>
          <w:szCs w:val="22"/>
        </w:rPr>
      </w:pPr>
      <w:r>
        <w:rPr>
          <w:rFonts w:ascii="Arial" w:hAnsi="Arial" w:cs="Arial"/>
          <w:sz w:val="22"/>
          <w:szCs w:val="22"/>
        </w:rPr>
        <w:t>Details and status of Aircraft</w:t>
      </w:r>
      <w:r w:rsidR="00AD5892">
        <w:rPr>
          <w:rFonts w:ascii="Arial" w:hAnsi="Arial" w:cs="Arial"/>
          <w:sz w:val="22"/>
          <w:szCs w:val="22"/>
        </w:rPr>
        <w:t xml:space="preserve"> Parts Inventor</w:t>
      </w:r>
      <w:r>
        <w:rPr>
          <w:rFonts w:ascii="Arial" w:hAnsi="Arial" w:cs="Arial"/>
          <w:sz w:val="22"/>
          <w:szCs w:val="22"/>
        </w:rPr>
        <w:t>ies</w:t>
      </w:r>
      <w:r w:rsidR="00AD5892">
        <w:rPr>
          <w:rFonts w:ascii="Arial" w:hAnsi="Arial" w:cs="Arial"/>
          <w:sz w:val="22"/>
          <w:szCs w:val="22"/>
        </w:rPr>
        <w:t xml:space="preserve"> as of December 31, 2015</w:t>
      </w:r>
      <w:r>
        <w:rPr>
          <w:rFonts w:ascii="Arial" w:hAnsi="Arial" w:cs="Arial"/>
          <w:sz w:val="22"/>
          <w:szCs w:val="22"/>
        </w:rPr>
        <w:t xml:space="preserve"> and 2014</w:t>
      </w:r>
      <w:r w:rsidR="00AD5892">
        <w:rPr>
          <w:rFonts w:ascii="Arial" w:hAnsi="Arial" w:cs="Arial"/>
          <w:sz w:val="22"/>
          <w:szCs w:val="22"/>
        </w:rPr>
        <w:t xml:space="preserve"> </w:t>
      </w:r>
      <w:r>
        <w:rPr>
          <w:rFonts w:ascii="Arial" w:hAnsi="Arial" w:cs="Arial"/>
          <w:sz w:val="22"/>
          <w:szCs w:val="22"/>
        </w:rPr>
        <w:t xml:space="preserve">are </w:t>
      </w:r>
      <w:r w:rsidR="00AD5892">
        <w:rPr>
          <w:rFonts w:ascii="Arial" w:hAnsi="Arial" w:cs="Arial"/>
          <w:sz w:val="22"/>
          <w:szCs w:val="22"/>
        </w:rPr>
        <w:t xml:space="preserve">as follows:                  </w:t>
      </w:r>
    </w:p>
    <w:p w:rsidR="00AD5892" w:rsidRDefault="00AD5892" w:rsidP="00AD5892">
      <w:pPr>
        <w:ind w:left="360"/>
        <w:rPr>
          <w:rFonts w:ascii="Arial" w:hAnsi="Arial" w:cs="Arial"/>
          <w:b/>
          <w:sz w:val="22"/>
          <w:szCs w:val="22"/>
        </w:rPr>
      </w:pPr>
    </w:p>
    <w:tbl>
      <w:tblPr>
        <w:tblStyle w:val="TableGrid"/>
        <w:tblW w:w="0" w:type="auto"/>
        <w:tblInd w:w="1368" w:type="dxa"/>
        <w:tblLook w:val="04A0" w:firstRow="1" w:lastRow="0" w:firstColumn="1" w:lastColumn="0" w:noHBand="0" w:noVBand="1"/>
      </w:tblPr>
      <w:tblGrid>
        <w:gridCol w:w="2880"/>
        <w:gridCol w:w="1890"/>
        <w:gridCol w:w="1890"/>
      </w:tblGrid>
      <w:tr w:rsidR="00BD37C6" w:rsidTr="00B77489">
        <w:tc>
          <w:tcPr>
            <w:tcW w:w="2880" w:type="dxa"/>
            <w:tcBorders>
              <w:top w:val="nil"/>
              <w:left w:val="nil"/>
              <w:right w:val="nil"/>
            </w:tcBorders>
          </w:tcPr>
          <w:p w:rsidR="00BD37C6" w:rsidRPr="00B16199" w:rsidRDefault="00BD37C6" w:rsidP="00266FD1">
            <w:pPr>
              <w:rPr>
                <w:rFonts w:ascii="Arial" w:hAnsi="Arial" w:cs="Arial"/>
                <w:sz w:val="22"/>
                <w:szCs w:val="22"/>
              </w:rPr>
            </w:pPr>
          </w:p>
        </w:tc>
        <w:tc>
          <w:tcPr>
            <w:tcW w:w="1890" w:type="dxa"/>
            <w:tcBorders>
              <w:top w:val="nil"/>
              <w:left w:val="nil"/>
              <w:right w:val="nil"/>
            </w:tcBorders>
          </w:tcPr>
          <w:p w:rsidR="00BD37C6" w:rsidRDefault="00F83AE7" w:rsidP="00B16199">
            <w:pPr>
              <w:jc w:val="center"/>
              <w:rPr>
                <w:rFonts w:ascii="Arial" w:hAnsi="Arial" w:cs="Arial"/>
                <w:sz w:val="22"/>
                <w:szCs w:val="22"/>
              </w:rPr>
            </w:pPr>
            <w:r>
              <w:rPr>
                <w:rFonts w:ascii="Arial" w:hAnsi="Arial" w:cs="Arial"/>
                <w:sz w:val="22"/>
                <w:szCs w:val="22"/>
              </w:rPr>
              <w:t xml:space="preserve">     </w:t>
            </w:r>
            <w:r w:rsidR="00BD37C6">
              <w:rPr>
                <w:rFonts w:ascii="Arial" w:hAnsi="Arial" w:cs="Arial"/>
                <w:sz w:val="22"/>
                <w:szCs w:val="22"/>
              </w:rPr>
              <w:t>2015</w:t>
            </w:r>
          </w:p>
        </w:tc>
        <w:tc>
          <w:tcPr>
            <w:tcW w:w="1890" w:type="dxa"/>
            <w:tcBorders>
              <w:top w:val="nil"/>
              <w:left w:val="nil"/>
              <w:right w:val="nil"/>
            </w:tcBorders>
          </w:tcPr>
          <w:p w:rsidR="00BD37C6" w:rsidRDefault="00BD37C6" w:rsidP="009B0413">
            <w:pPr>
              <w:jc w:val="center"/>
              <w:rPr>
                <w:rFonts w:ascii="Arial" w:hAnsi="Arial" w:cs="Arial"/>
                <w:sz w:val="22"/>
                <w:szCs w:val="22"/>
              </w:rPr>
            </w:pPr>
            <w:r>
              <w:rPr>
                <w:rFonts w:ascii="Arial" w:hAnsi="Arial" w:cs="Arial"/>
                <w:sz w:val="22"/>
                <w:szCs w:val="22"/>
              </w:rPr>
              <w:t>2014</w:t>
            </w:r>
          </w:p>
        </w:tc>
      </w:tr>
      <w:tr w:rsidR="00BD37C6" w:rsidTr="00B77489">
        <w:tc>
          <w:tcPr>
            <w:tcW w:w="2880" w:type="dxa"/>
          </w:tcPr>
          <w:p w:rsidR="00BD37C6" w:rsidRPr="00BD37C6" w:rsidRDefault="00BD37C6" w:rsidP="00266FD1">
            <w:pPr>
              <w:rPr>
                <w:rFonts w:ascii="Arial" w:hAnsi="Arial" w:cs="Arial"/>
                <w:i/>
                <w:sz w:val="22"/>
                <w:szCs w:val="22"/>
              </w:rPr>
            </w:pPr>
            <w:r w:rsidRPr="00BD37C6">
              <w:rPr>
                <w:rFonts w:ascii="Arial" w:hAnsi="Arial" w:cs="Arial"/>
                <w:i/>
                <w:sz w:val="22"/>
                <w:szCs w:val="22"/>
              </w:rPr>
              <w:t>Unserviceable</w:t>
            </w:r>
          </w:p>
        </w:tc>
        <w:tc>
          <w:tcPr>
            <w:tcW w:w="1890" w:type="dxa"/>
          </w:tcPr>
          <w:p w:rsidR="00BD37C6" w:rsidRDefault="00BD37C6" w:rsidP="00B16199">
            <w:pPr>
              <w:jc w:val="right"/>
              <w:rPr>
                <w:rFonts w:ascii="Arial" w:hAnsi="Arial" w:cs="Arial"/>
                <w:sz w:val="22"/>
                <w:szCs w:val="22"/>
              </w:rPr>
            </w:pPr>
            <w:r>
              <w:rPr>
                <w:rFonts w:ascii="Arial" w:hAnsi="Arial" w:cs="Arial"/>
                <w:sz w:val="22"/>
                <w:szCs w:val="22"/>
              </w:rPr>
              <w:t>40,913,857</w:t>
            </w:r>
          </w:p>
        </w:tc>
        <w:tc>
          <w:tcPr>
            <w:tcW w:w="1890" w:type="dxa"/>
          </w:tcPr>
          <w:p w:rsidR="00BD37C6" w:rsidRDefault="009B0413" w:rsidP="00266FD1">
            <w:pPr>
              <w:rPr>
                <w:rFonts w:ascii="Arial" w:hAnsi="Arial" w:cs="Arial"/>
                <w:sz w:val="22"/>
                <w:szCs w:val="22"/>
              </w:rPr>
            </w:pPr>
            <w:r>
              <w:rPr>
                <w:rFonts w:ascii="Arial" w:hAnsi="Arial" w:cs="Arial"/>
                <w:sz w:val="22"/>
                <w:szCs w:val="22"/>
              </w:rPr>
              <w:t>42,258,425</w:t>
            </w:r>
          </w:p>
        </w:tc>
      </w:tr>
      <w:tr w:rsidR="00BD37C6" w:rsidTr="00B77489">
        <w:tc>
          <w:tcPr>
            <w:tcW w:w="2880" w:type="dxa"/>
          </w:tcPr>
          <w:p w:rsidR="00BD37C6" w:rsidRDefault="00BD37C6" w:rsidP="00266FD1">
            <w:pPr>
              <w:rPr>
                <w:rFonts w:ascii="Arial" w:hAnsi="Arial" w:cs="Arial"/>
                <w:sz w:val="22"/>
                <w:szCs w:val="22"/>
              </w:rPr>
            </w:pPr>
            <w:r>
              <w:rPr>
                <w:rFonts w:ascii="Arial" w:hAnsi="Arial" w:cs="Arial"/>
                <w:sz w:val="22"/>
                <w:szCs w:val="22"/>
              </w:rPr>
              <w:t>Serviceable</w:t>
            </w:r>
          </w:p>
        </w:tc>
        <w:tc>
          <w:tcPr>
            <w:tcW w:w="1890" w:type="dxa"/>
          </w:tcPr>
          <w:p w:rsidR="00BD37C6" w:rsidRDefault="00BD37C6" w:rsidP="00B16199">
            <w:pPr>
              <w:jc w:val="right"/>
              <w:rPr>
                <w:rFonts w:ascii="Arial" w:hAnsi="Arial" w:cs="Arial"/>
                <w:sz w:val="22"/>
                <w:szCs w:val="22"/>
              </w:rPr>
            </w:pPr>
            <w:r>
              <w:rPr>
                <w:rFonts w:ascii="Arial" w:hAnsi="Arial" w:cs="Arial"/>
                <w:sz w:val="22"/>
                <w:szCs w:val="22"/>
              </w:rPr>
              <w:t>13,442,940</w:t>
            </w:r>
          </w:p>
        </w:tc>
        <w:tc>
          <w:tcPr>
            <w:tcW w:w="1890" w:type="dxa"/>
          </w:tcPr>
          <w:p w:rsidR="00BD37C6" w:rsidRDefault="009B0413" w:rsidP="00266FD1">
            <w:pPr>
              <w:rPr>
                <w:rFonts w:ascii="Arial" w:hAnsi="Arial" w:cs="Arial"/>
                <w:sz w:val="22"/>
                <w:szCs w:val="22"/>
              </w:rPr>
            </w:pPr>
            <w:r>
              <w:rPr>
                <w:rFonts w:ascii="Arial" w:hAnsi="Arial" w:cs="Arial"/>
                <w:sz w:val="22"/>
                <w:szCs w:val="22"/>
              </w:rPr>
              <w:t xml:space="preserve">  7,101,208</w:t>
            </w:r>
          </w:p>
        </w:tc>
      </w:tr>
      <w:tr w:rsidR="00BD37C6" w:rsidTr="00B77489">
        <w:tc>
          <w:tcPr>
            <w:tcW w:w="2880" w:type="dxa"/>
          </w:tcPr>
          <w:p w:rsidR="00BD37C6" w:rsidRDefault="00BD37C6" w:rsidP="00266FD1">
            <w:pPr>
              <w:rPr>
                <w:rFonts w:ascii="Arial" w:hAnsi="Arial" w:cs="Arial"/>
                <w:sz w:val="22"/>
                <w:szCs w:val="22"/>
              </w:rPr>
            </w:pPr>
            <w:r>
              <w:rPr>
                <w:rFonts w:ascii="Arial" w:hAnsi="Arial" w:cs="Arial"/>
                <w:sz w:val="22"/>
                <w:szCs w:val="22"/>
              </w:rPr>
              <w:t>Repairable</w:t>
            </w:r>
          </w:p>
        </w:tc>
        <w:tc>
          <w:tcPr>
            <w:tcW w:w="1890" w:type="dxa"/>
          </w:tcPr>
          <w:p w:rsidR="00BD37C6" w:rsidRDefault="00BD37C6" w:rsidP="00B16199">
            <w:pPr>
              <w:jc w:val="right"/>
              <w:rPr>
                <w:rFonts w:ascii="Arial" w:hAnsi="Arial" w:cs="Arial"/>
                <w:sz w:val="22"/>
                <w:szCs w:val="22"/>
              </w:rPr>
            </w:pPr>
            <w:r>
              <w:rPr>
                <w:rFonts w:ascii="Arial" w:hAnsi="Arial" w:cs="Arial"/>
                <w:sz w:val="22"/>
                <w:szCs w:val="22"/>
              </w:rPr>
              <w:t xml:space="preserve">  1,649,764</w:t>
            </w:r>
          </w:p>
        </w:tc>
        <w:tc>
          <w:tcPr>
            <w:tcW w:w="1890" w:type="dxa"/>
          </w:tcPr>
          <w:p w:rsidR="00BD37C6" w:rsidRDefault="009B0413" w:rsidP="00266FD1">
            <w:pPr>
              <w:rPr>
                <w:rFonts w:ascii="Arial" w:hAnsi="Arial" w:cs="Arial"/>
                <w:sz w:val="22"/>
                <w:szCs w:val="22"/>
              </w:rPr>
            </w:pPr>
            <w:r>
              <w:rPr>
                <w:rFonts w:ascii="Arial" w:hAnsi="Arial" w:cs="Arial"/>
                <w:sz w:val="22"/>
                <w:szCs w:val="22"/>
              </w:rPr>
              <w:t xml:space="preserve">     248,042</w:t>
            </w:r>
          </w:p>
        </w:tc>
      </w:tr>
      <w:tr w:rsidR="00BD37C6" w:rsidTr="00B77489">
        <w:tc>
          <w:tcPr>
            <w:tcW w:w="2880" w:type="dxa"/>
          </w:tcPr>
          <w:p w:rsidR="00BD37C6" w:rsidRDefault="00BD37C6" w:rsidP="00266FD1">
            <w:pPr>
              <w:rPr>
                <w:rFonts w:ascii="Arial" w:hAnsi="Arial" w:cs="Arial"/>
                <w:sz w:val="22"/>
                <w:szCs w:val="22"/>
              </w:rPr>
            </w:pPr>
            <w:r>
              <w:rPr>
                <w:rFonts w:ascii="Arial" w:hAnsi="Arial" w:cs="Arial"/>
                <w:sz w:val="22"/>
                <w:szCs w:val="22"/>
              </w:rPr>
              <w:t>Condemned</w:t>
            </w:r>
          </w:p>
        </w:tc>
        <w:tc>
          <w:tcPr>
            <w:tcW w:w="1890" w:type="dxa"/>
          </w:tcPr>
          <w:p w:rsidR="00BD37C6" w:rsidRDefault="00BD37C6" w:rsidP="00B16199">
            <w:pPr>
              <w:jc w:val="right"/>
              <w:rPr>
                <w:rFonts w:ascii="Arial" w:hAnsi="Arial" w:cs="Arial"/>
                <w:sz w:val="22"/>
                <w:szCs w:val="22"/>
              </w:rPr>
            </w:pPr>
            <w:r>
              <w:rPr>
                <w:rFonts w:ascii="Arial" w:hAnsi="Arial" w:cs="Arial"/>
                <w:sz w:val="22"/>
                <w:szCs w:val="22"/>
              </w:rPr>
              <w:t xml:space="preserve">         5,126</w:t>
            </w:r>
          </w:p>
        </w:tc>
        <w:tc>
          <w:tcPr>
            <w:tcW w:w="1890" w:type="dxa"/>
          </w:tcPr>
          <w:p w:rsidR="00BD37C6" w:rsidRDefault="00BD37C6" w:rsidP="00266FD1">
            <w:pPr>
              <w:rPr>
                <w:rFonts w:ascii="Arial" w:hAnsi="Arial" w:cs="Arial"/>
                <w:sz w:val="22"/>
                <w:szCs w:val="22"/>
              </w:rPr>
            </w:pPr>
          </w:p>
        </w:tc>
      </w:tr>
      <w:tr w:rsidR="00BD37C6" w:rsidTr="00B77489">
        <w:tc>
          <w:tcPr>
            <w:tcW w:w="2880" w:type="dxa"/>
          </w:tcPr>
          <w:p w:rsidR="00BD37C6" w:rsidRDefault="00BD37C6" w:rsidP="00266FD1">
            <w:pPr>
              <w:rPr>
                <w:rFonts w:ascii="Arial" w:hAnsi="Arial" w:cs="Arial"/>
                <w:sz w:val="22"/>
                <w:szCs w:val="22"/>
              </w:rPr>
            </w:pPr>
            <w:r>
              <w:rPr>
                <w:rFonts w:ascii="Arial" w:hAnsi="Arial" w:cs="Arial"/>
                <w:sz w:val="22"/>
                <w:szCs w:val="22"/>
              </w:rPr>
              <w:t xml:space="preserve">       Total </w:t>
            </w:r>
          </w:p>
        </w:tc>
        <w:tc>
          <w:tcPr>
            <w:tcW w:w="1890" w:type="dxa"/>
          </w:tcPr>
          <w:p w:rsidR="00BD37C6" w:rsidRDefault="00BD37C6" w:rsidP="00B16199">
            <w:pPr>
              <w:jc w:val="right"/>
              <w:rPr>
                <w:rFonts w:ascii="Arial" w:hAnsi="Arial" w:cs="Arial"/>
                <w:sz w:val="22"/>
                <w:szCs w:val="22"/>
              </w:rPr>
            </w:pPr>
            <w:r>
              <w:rPr>
                <w:rFonts w:ascii="Arial" w:hAnsi="Arial" w:cs="Arial"/>
                <w:sz w:val="22"/>
                <w:szCs w:val="22"/>
              </w:rPr>
              <w:t>56,011,687</w:t>
            </w:r>
          </w:p>
        </w:tc>
        <w:tc>
          <w:tcPr>
            <w:tcW w:w="1890" w:type="dxa"/>
          </w:tcPr>
          <w:p w:rsidR="00BD37C6" w:rsidRDefault="009B0413" w:rsidP="00266FD1">
            <w:pPr>
              <w:rPr>
                <w:rFonts w:ascii="Arial" w:hAnsi="Arial" w:cs="Arial"/>
                <w:sz w:val="22"/>
                <w:szCs w:val="22"/>
              </w:rPr>
            </w:pPr>
            <w:r>
              <w:rPr>
                <w:rFonts w:ascii="Arial" w:hAnsi="Arial" w:cs="Arial"/>
                <w:sz w:val="22"/>
                <w:szCs w:val="22"/>
              </w:rPr>
              <w:t>49,607,675</w:t>
            </w:r>
          </w:p>
        </w:tc>
      </w:tr>
    </w:tbl>
    <w:p w:rsidR="00AD5892" w:rsidRDefault="00AD5892" w:rsidP="00AD5892">
      <w:pPr>
        <w:ind w:left="360"/>
        <w:rPr>
          <w:rFonts w:ascii="Arial" w:hAnsi="Arial" w:cs="Arial"/>
          <w:b/>
          <w:sz w:val="22"/>
          <w:szCs w:val="22"/>
        </w:rPr>
      </w:pPr>
    </w:p>
    <w:p w:rsidR="00AD5892" w:rsidRPr="002B2CE1" w:rsidRDefault="00AD5892" w:rsidP="00AD5892">
      <w:pPr>
        <w:ind w:left="360"/>
        <w:rPr>
          <w:rFonts w:ascii="Arial" w:hAnsi="Arial" w:cs="Arial"/>
          <w:b/>
          <w:sz w:val="22"/>
          <w:szCs w:val="22"/>
        </w:rPr>
      </w:pPr>
    </w:p>
    <w:p w:rsidR="00F83AE7" w:rsidRDefault="00AD5892" w:rsidP="00AD5892">
      <w:pPr>
        <w:ind w:left="360"/>
        <w:rPr>
          <w:rFonts w:ascii="Arial" w:hAnsi="Arial" w:cs="Arial"/>
          <w:sz w:val="22"/>
          <w:szCs w:val="22"/>
        </w:rPr>
      </w:pPr>
      <w:r>
        <w:rPr>
          <w:rFonts w:ascii="Arial" w:hAnsi="Arial" w:cs="Arial"/>
          <w:sz w:val="22"/>
          <w:szCs w:val="22"/>
        </w:rPr>
        <w:t>On the other hand, the Notes to the Financial Statements show:</w:t>
      </w:r>
    </w:p>
    <w:p w:rsidR="00AD5892" w:rsidRDefault="00F83AE7" w:rsidP="00AD5892">
      <w:pPr>
        <w:ind w:left="360"/>
        <w:rPr>
          <w:rFonts w:ascii="Arial" w:hAnsi="Arial" w:cs="Arial"/>
          <w:sz w:val="22"/>
          <w:szCs w:val="22"/>
        </w:rPr>
      </w:pPr>
      <w:r>
        <w:rPr>
          <w:rFonts w:ascii="Arial" w:hAnsi="Arial" w:cs="Arial"/>
          <w:sz w:val="22"/>
          <w:szCs w:val="22"/>
        </w:rPr>
        <w:t xml:space="preserve"> </w:t>
      </w:r>
    </w:p>
    <w:tbl>
      <w:tblPr>
        <w:tblStyle w:val="TableGrid"/>
        <w:tblW w:w="0" w:type="auto"/>
        <w:tblInd w:w="1368" w:type="dxa"/>
        <w:tblLook w:val="04A0" w:firstRow="1" w:lastRow="0" w:firstColumn="1" w:lastColumn="0" w:noHBand="0" w:noVBand="1"/>
      </w:tblPr>
      <w:tblGrid>
        <w:gridCol w:w="3060"/>
        <w:gridCol w:w="1890"/>
        <w:gridCol w:w="1710"/>
      </w:tblGrid>
      <w:tr w:rsidR="00F83AE7" w:rsidTr="00B77489">
        <w:tc>
          <w:tcPr>
            <w:tcW w:w="3060" w:type="dxa"/>
            <w:tcBorders>
              <w:top w:val="nil"/>
              <w:left w:val="nil"/>
              <w:right w:val="nil"/>
            </w:tcBorders>
          </w:tcPr>
          <w:p w:rsidR="00F83AE7" w:rsidRDefault="00F83AE7" w:rsidP="00266FD1">
            <w:pPr>
              <w:rPr>
                <w:rFonts w:ascii="Arial" w:hAnsi="Arial" w:cs="Arial"/>
                <w:sz w:val="22"/>
                <w:szCs w:val="22"/>
              </w:rPr>
            </w:pPr>
          </w:p>
        </w:tc>
        <w:tc>
          <w:tcPr>
            <w:tcW w:w="1890" w:type="dxa"/>
            <w:tcBorders>
              <w:top w:val="nil"/>
              <w:left w:val="nil"/>
              <w:right w:val="nil"/>
            </w:tcBorders>
          </w:tcPr>
          <w:p w:rsidR="00F83AE7" w:rsidRDefault="00F83AE7" w:rsidP="00266FD1">
            <w:pPr>
              <w:rPr>
                <w:rFonts w:ascii="Arial" w:hAnsi="Arial" w:cs="Arial"/>
                <w:sz w:val="22"/>
                <w:szCs w:val="22"/>
              </w:rPr>
            </w:pPr>
            <w:r>
              <w:rPr>
                <w:rFonts w:ascii="Arial" w:hAnsi="Arial" w:cs="Arial"/>
                <w:sz w:val="22"/>
                <w:szCs w:val="22"/>
              </w:rPr>
              <w:t xml:space="preserve">   </w:t>
            </w:r>
            <w:r w:rsidR="00B77489">
              <w:rPr>
                <w:rFonts w:ascii="Arial" w:hAnsi="Arial" w:cs="Arial"/>
                <w:sz w:val="22"/>
                <w:szCs w:val="22"/>
              </w:rPr>
              <w:t xml:space="preserve">  </w:t>
            </w:r>
            <w:r>
              <w:rPr>
                <w:rFonts w:ascii="Arial" w:hAnsi="Arial" w:cs="Arial"/>
                <w:sz w:val="22"/>
                <w:szCs w:val="22"/>
              </w:rPr>
              <w:t xml:space="preserve">    2015</w:t>
            </w:r>
          </w:p>
        </w:tc>
        <w:tc>
          <w:tcPr>
            <w:tcW w:w="1710" w:type="dxa"/>
            <w:tcBorders>
              <w:top w:val="nil"/>
              <w:left w:val="nil"/>
              <w:right w:val="nil"/>
            </w:tcBorders>
          </w:tcPr>
          <w:p w:rsidR="00F83AE7" w:rsidRDefault="00F83AE7" w:rsidP="00266FD1">
            <w:pPr>
              <w:rPr>
                <w:rFonts w:ascii="Arial" w:hAnsi="Arial" w:cs="Arial"/>
                <w:sz w:val="22"/>
                <w:szCs w:val="22"/>
              </w:rPr>
            </w:pPr>
            <w:r>
              <w:rPr>
                <w:rFonts w:ascii="Arial" w:hAnsi="Arial" w:cs="Arial"/>
                <w:sz w:val="22"/>
                <w:szCs w:val="22"/>
              </w:rPr>
              <w:t xml:space="preserve">       2014</w:t>
            </w:r>
          </w:p>
        </w:tc>
      </w:tr>
      <w:tr w:rsidR="002C5730" w:rsidTr="00B77489">
        <w:tc>
          <w:tcPr>
            <w:tcW w:w="3060" w:type="dxa"/>
          </w:tcPr>
          <w:p w:rsidR="002C5730" w:rsidRDefault="002C5730" w:rsidP="00266FD1">
            <w:pPr>
              <w:rPr>
                <w:rFonts w:ascii="Arial" w:hAnsi="Arial" w:cs="Arial"/>
                <w:sz w:val="22"/>
                <w:szCs w:val="22"/>
              </w:rPr>
            </w:pPr>
            <w:r>
              <w:rPr>
                <w:rFonts w:ascii="Arial" w:hAnsi="Arial" w:cs="Arial"/>
                <w:sz w:val="22"/>
                <w:szCs w:val="22"/>
              </w:rPr>
              <w:t>Spare parts inventory</w:t>
            </w:r>
          </w:p>
        </w:tc>
        <w:tc>
          <w:tcPr>
            <w:tcW w:w="1890" w:type="dxa"/>
          </w:tcPr>
          <w:p w:rsidR="002C5730" w:rsidRDefault="002C5730" w:rsidP="00266FD1">
            <w:pPr>
              <w:rPr>
                <w:rFonts w:ascii="Arial" w:hAnsi="Arial" w:cs="Arial"/>
                <w:sz w:val="22"/>
                <w:szCs w:val="22"/>
              </w:rPr>
            </w:pPr>
            <w:r>
              <w:rPr>
                <w:rFonts w:ascii="Arial" w:hAnsi="Arial" w:cs="Arial"/>
                <w:sz w:val="22"/>
                <w:szCs w:val="22"/>
              </w:rPr>
              <w:t xml:space="preserve"> 69,943,744</w:t>
            </w:r>
          </w:p>
        </w:tc>
        <w:tc>
          <w:tcPr>
            <w:tcW w:w="1710" w:type="dxa"/>
          </w:tcPr>
          <w:p w:rsidR="002C5730" w:rsidRDefault="00687D5E" w:rsidP="00266FD1">
            <w:pPr>
              <w:rPr>
                <w:rFonts w:ascii="Arial" w:hAnsi="Arial" w:cs="Arial"/>
                <w:sz w:val="22"/>
                <w:szCs w:val="22"/>
              </w:rPr>
            </w:pPr>
            <w:r>
              <w:rPr>
                <w:rFonts w:ascii="Arial" w:hAnsi="Arial" w:cs="Arial"/>
                <w:sz w:val="22"/>
                <w:szCs w:val="22"/>
              </w:rPr>
              <w:t xml:space="preserve"> 64,926,656</w:t>
            </w:r>
          </w:p>
        </w:tc>
      </w:tr>
      <w:tr w:rsidR="002C5730" w:rsidTr="00B77489">
        <w:tc>
          <w:tcPr>
            <w:tcW w:w="3060" w:type="dxa"/>
          </w:tcPr>
          <w:p w:rsidR="002C5730" w:rsidRDefault="002C5730" w:rsidP="00266FD1">
            <w:pPr>
              <w:rPr>
                <w:rFonts w:ascii="Arial" w:hAnsi="Arial" w:cs="Arial"/>
                <w:sz w:val="22"/>
                <w:szCs w:val="22"/>
              </w:rPr>
            </w:pPr>
            <w:r>
              <w:rPr>
                <w:rFonts w:ascii="Arial" w:hAnsi="Arial" w:cs="Arial"/>
                <w:sz w:val="22"/>
                <w:szCs w:val="22"/>
              </w:rPr>
              <w:t>Jobs in progress</w:t>
            </w:r>
          </w:p>
        </w:tc>
        <w:tc>
          <w:tcPr>
            <w:tcW w:w="1890" w:type="dxa"/>
          </w:tcPr>
          <w:p w:rsidR="002C5730" w:rsidRDefault="002C5730" w:rsidP="00266FD1">
            <w:pPr>
              <w:rPr>
                <w:rFonts w:ascii="Arial" w:hAnsi="Arial" w:cs="Arial"/>
                <w:sz w:val="22"/>
                <w:szCs w:val="22"/>
              </w:rPr>
            </w:pPr>
            <w:r>
              <w:rPr>
                <w:rFonts w:ascii="Arial" w:hAnsi="Arial" w:cs="Arial"/>
                <w:sz w:val="22"/>
                <w:szCs w:val="22"/>
              </w:rPr>
              <w:t xml:space="preserve">   8,244,759</w:t>
            </w:r>
          </w:p>
        </w:tc>
        <w:tc>
          <w:tcPr>
            <w:tcW w:w="1710" w:type="dxa"/>
          </w:tcPr>
          <w:p w:rsidR="002C5730" w:rsidRDefault="00687D5E" w:rsidP="00266FD1">
            <w:pPr>
              <w:rPr>
                <w:rFonts w:ascii="Arial" w:hAnsi="Arial" w:cs="Arial"/>
                <w:sz w:val="22"/>
                <w:szCs w:val="22"/>
              </w:rPr>
            </w:pPr>
            <w:r>
              <w:rPr>
                <w:rFonts w:ascii="Arial" w:hAnsi="Arial" w:cs="Arial"/>
                <w:sz w:val="22"/>
                <w:szCs w:val="22"/>
              </w:rPr>
              <w:t xml:space="preserve">   8,244,759</w:t>
            </w:r>
          </w:p>
        </w:tc>
      </w:tr>
      <w:tr w:rsidR="002C5730" w:rsidTr="00B77489">
        <w:tc>
          <w:tcPr>
            <w:tcW w:w="3060" w:type="dxa"/>
          </w:tcPr>
          <w:p w:rsidR="002C5730" w:rsidRDefault="00687D5E" w:rsidP="00266FD1">
            <w:pPr>
              <w:rPr>
                <w:rFonts w:ascii="Arial" w:hAnsi="Arial" w:cs="Arial"/>
                <w:sz w:val="22"/>
                <w:szCs w:val="22"/>
              </w:rPr>
            </w:pPr>
            <w:r>
              <w:rPr>
                <w:rFonts w:ascii="Arial" w:hAnsi="Arial" w:cs="Arial"/>
                <w:sz w:val="22"/>
                <w:szCs w:val="22"/>
              </w:rPr>
              <w:t>Total</w:t>
            </w:r>
          </w:p>
        </w:tc>
        <w:tc>
          <w:tcPr>
            <w:tcW w:w="1890" w:type="dxa"/>
          </w:tcPr>
          <w:p w:rsidR="002C5730" w:rsidRDefault="002C5730" w:rsidP="00266FD1">
            <w:pPr>
              <w:rPr>
                <w:rFonts w:ascii="Arial" w:hAnsi="Arial" w:cs="Arial"/>
                <w:sz w:val="22"/>
                <w:szCs w:val="22"/>
              </w:rPr>
            </w:pPr>
            <w:r>
              <w:rPr>
                <w:rFonts w:ascii="Arial" w:hAnsi="Arial" w:cs="Arial"/>
                <w:sz w:val="22"/>
                <w:szCs w:val="22"/>
              </w:rPr>
              <w:t xml:space="preserve"> 78,188,503</w:t>
            </w:r>
          </w:p>
        </w:tc>
        <w:tc>
          <w:tcPr>
            <w:tcW w:w="1710" w:type="dxa"/>
          </w:tcPr>
          <w:p w:rsidR="002C5730" w:rsidRDefault="00687D5E" w:rsidP="00266FD1">
            <w:pPr>
              <w:rPr>
                <w:rFonts w:ascii="Arial" w:hAnsi="Arial" w:cs="Arial"/>
                <w:sz w:val="22"/>
                <w:szCs w:val="22"/>
              </w:rPr>
            </w:pPr>
            <w:r>
              <w:rPr>
                <w:rFonts w:ascii="Arial" w:hAnsi="Arial" w:cs="Arial"/>
                <w:sz w:val="22"/>
                <w:szCs w:val="22"/>
              </w:rPr>
              <w:t xml:space="preserve"> 73,171,415</w:t>
            </w:r>
          </w:p>
        </w:tc>
      </w:tr>
      <w:tr w:rsidR="002C5730" w:rsidTr="00B77489">
        <w:tc>
          <w:tcPr>
            <w:tcW w:w="3060" w:type="dxa"/>
          </w:tcPr>
          <w:p w:rsidR="002C5730" w:rsidRDefault="002C5730" w:rsidP="00266FD1">
            <w:pPr>
              <w:rPr>
                <w:rFonts w:ascii="Arial" w:hAnsi="Arial" w:cs="Arial"/>
                <w:sz w:val="22"/>
                <w:szCs w:val="22"/>
              </w:rPr>
            </w:pPr>
            <w:r>
              <w:rPr>
                <w:rFonts w:ascii="Arial" w:hAnsi="Arial" w:cs="Arial"/>
                <w:sz w:val="22"/>
                <w:szCs w:val="22"/>
              </w:rPr>
              <w:t>Allowance for Obsolescence</w:t>
            </w:r>
          </w:p>
        </w:tc>
        <w:tc>
          <w:tcPr>
            <w:tcW w:w="1890" w:type="dxa"/>
          </w:tcPr>
          <w:p w:rsidR="002C5730" w:rsidRDefault="002C5730" w:rsidP="00266FD1">
            <w:pPr>
              <w:rPr>
                <w:rFonts w:ascii="Arial" w:hAnsi="Arial" w:cs="Arial"/>
                <w:sz w:val="22"/>
                <w:szCs w:val="22"/>
              </w:rPr>
            </w:pPr>
            <w:r>
              <w:rPr>
                <w:rFonts w:ascii="Arial" w:hAnsi="Arial" w:cs="Arial"/>
                <w:sz w:val="22"/>
                <w:szCs w:val="22"/>
              </w:rPr>
              <w:t>(23,563,740)</w:t>
            </w:r>
          </w:p>
        </w:tc>
        <w:tc>
          <w:tcPr>
            <w:tcW w:w="1710" w:type="dxa"/>
          </w:tcPr>
          <w:p w:rsidR="002C5730" w:rsidRDefault="00687D5E" w:rsidP="00266FD1">
            <w:pPr>
              <w:rPr>
                <w:rFonts w:ascii="Arial" w:hAnsi="Arial" w:cs="Arial"/>
                <w:sz w:val="22"/>
                <w:szCs w:val="22"/>
              </w:rPr>
            </w:pPr>
            <w:r>
              <w:rPr>
                <w:rFonts w:ascii="Arial" w:hAnsi="Arial" w:cs="Arial"/>
                <w:sz w:val="22"/>
                <w:szCs w:val="22"/>
              </w:rPr>
              <w:t>(23,563,740)</w:t>
            </w:r>
          </w:p>
        </w:tc>
      </w:tr>
      <w:tr w:rsidR="002C5730" w:rsidTr="00B77489">
        <w:tc>
          <w:tcPr>
            <w:tcW w:w="3060" w:type="dxa"/>
          </w:tcPr>
          <w:p w:rsidR="002C5730" w:rsidRDefault="002C5730" w:rsidP="00266FD1">
            <w:pPr>
              <w:rPr>
                <w:rFonts w:ascii="Arial" w:hAnsi="Arial" w:cs="Arial"/>
                <w:sz w:val="22"/>
                <w:szCs w:val="22"/>
              </w:rPr>
            </w:pPr>
            <w:r>
              <w:rPr>
                <w:rFonts w:ascii="Arial" w:hAnsi="Arial" w:cs="Arial"/>
                <w:sz w:val="22"/>
                <w:szCs w:val="22"/>
              </w:rPr>
              <w:t>Net Inventory</w:t>
            </w:r>
          </w:p>
        </w:tc>
        <w:tc>
          <w:tcPr>
            <w:tcW w:w="1890" w:type="dxa"/>
          </w:tcPr>
          <w:p w:rsidR="002C5730" w:rsidRDefault="002C5730" w:rsidP="00266FD1">
            <w:pPr>
              <w:rPr>
                <w:rFonts w:ascii="Arial" w:hAnsi="Arial" w:cs="Arial"/>
                <w:sz w:val="22"/>
                <w:szCs w:val="22"/>
              </w:rPr>
            </w:pPr>
            <w:r>
              <w:rPr>
                <w:rFonts w:ascii="Arial" w:hAnsi="Arial" w:cs="Arial"/>
                <w:sz w:val="22"/>
                <w:szCs w:val="22"/>
              </w:rPr>
              <w:t xml:space="preserve"> 54,624,763</w:t>
            </w:r>
          </w:p>
        </w:tc>
        <w:tc>
          <w:tcPr>
            <w:tcW w:w="1710" w:type="dxa"/>
          </w:tcPr>
          <w:p w:rsidR="002C5730" w:rsidRDefault="00687D5E" w:rsidP="00266FD1">
            <w:pPr>
              <w:rPr>
                <w:rFonts w:ascii="Arial" w:hAnsi="Arial" w:cs="Arial"/>
                <w:sz w:val="22"/>
                <w:szCs w:val="22"/>
              </w:rPr>
            </w:pPr>
            <w:r>
              <w:rPr>
                <w:rFonts w:ascii="Arial" w:hAnsi="Arial" w:cs="Arial"/>
                <w:sz w:val="22"/>
                <w:szCs w:val="22"/>
              </w:rPr>
              <w:t xml:space="preserve"> 49,607,675</w:t>
            </w:r>
          </w:p>
        </w:tc>
      </w:tr>
    </w:tbl>
    <w:p w:rsidR="00AD5892" w:rsidRDefault="00AD5892" w:rsidP="00834D8A">
      <w:pPr>
        <w:ind w:left="360"/>
        <w:rPr>
          <w:rFonts w:ascii="Arial" w:hAnsi="Arial" w:cs="Arial"/>
          <w:sz w:val="22"/>
          <w:szCs w:val="22"/>
        </w:rPr>
      </w:pPr>
    </w:p>
    <w:p w:rsidR="00460474" w:rsidRDefault="00460474" w:rsidP="00460474">
      <w:pPr>
        <w:ind w:left="450"/>
        <w:rPr>
          <w:rFonts w:ascii="Arial" w:hAnsi="Arial" w:cs="Arial"/>
          <w:sz w:val="22"/>
          <w:szCs w:val="22"/>
        </w:rPr>
      </w:pPr>
      <w:r>
        <w:rPr>
          <w:rFonts w:ascii="Arial" w:hAnsi="Arial" w:cs="Arial"/>
          <w:sz w:val="22"/>
          <w:szCs w:val="22"/>
        </w:rPr>
        <w:t>As shown above, it may be deduced that the allowance for inventory obsolescence is under provided for by about P17</w:t>
      </w:r>
      <w:r w:rsidR="00687D5E">
        <w:rPr>
          <w:rFonts w:ascii="Arial" w:hAnsi="Arial" w:cs="Arial"/>
          <w:sz w:val="22"/>
          <w:szCs w:val="22"/>
        </w:rPr>
        <w:t>,355,243</w:t>
      </w:r>
      <w:r>
        <w:rPr>
          <w:rFonts w:ascii="Arial" w:hAnsi="Arial" w:cs="Arial"/>
          <w:sz w:val="22"/>
          <w:szCs w:val="22"/>
        </w:rPr>
        <w:t xml:space="preserve"> </w:t>
      </w:r>
      <w:r w:rsidR="00687D5E">
        <w:rPr>
          <w:rFonts w:ascii="Arial" w:hAnsi="Arial" w:cs="Arial"/>
          <w:sz w:val="22"/>
          <w:szCs w:val="22"/>
        </w:rPr>
        <w:t xml:space="preserve">and P18,694,685 as of December 31, 2015 and 2014, respectively, </w:t>
      </w:r>
      <w:r>
        <w:rPr>
          <w:rFonts w:ascii="Arial" w:hAnsi="Arial" w:cs="Arial"/>
          <w:sz w:val="22"/>
          <w:szCs w:val="22"/>
        </w:rPr>
        <w:t>computed as follows:</w:t>
      </w:r>
    </w:p>
    <w:p w:rsidR="00460474" w:rsidRDefault="00460474" w:rsidP="00460474">
      <w:pPr>
        <w:ind w:left="450"/>
        <w:rPr>
          <w:rFonts w:ascii="Arial" w:hAnsi="Arial" w:cs="Arial"/>
          <w:sz w:val="22"/>
          <w:szCs w:val="22"/>
        </w:rPr>
      </w:pPr>
    </w:p>
    <w:tbl>
      <w:tblPr>
        <w:tblStyle w:val="TableGrid"/>
        <w:tblW w:w="0" w:type="auto"/>
        <w:tblInd w:w="1368" w:type="dxa"/>
        <w:tblLook w:val="04A0" w:firstRow="1" w:lastRow="0" w:firstColumn="1" w:lastColumn="0" w:noHBand="0" w:noVBand="1"/>
      </w:tblPr>
      <w:tblGrid>
        <w:gridCol w:w="3600"/>
        <w:gridCol w:w="1464"/>
        <w:gridCol w:w="1530"/>
      </w:tblGrid>
      <w:tr w:rsidR="00687D5E" w:rsidTr="00B77489">
        <w:tc>
          <w:tcPr>
            <w:tcW w:w="3600" w:type="dxa"/>
            <w:tcBorders>
              <w:top w:val="nil"/>
              <w:left w:val="nil"/>
              <w:right w:val="nil"/>
            </w:tcBorders>
          </w:tcPr>
          <w:p w:rsidR="00687D5E" w:rsidRDefault="00687D5E" w:rsidP="00266FD1">
            <w:pPr>
              <w:rPr>
                <w:rFonts w:ascii="Arial" w:hAnsi="Arial" w:cs="Arial"/>
                <w:sz w:val="22"/>
                <w:szCs w:val="22"/>
              </w:rPr>
            </w:pPr>
          </w:p>
        </w:tc>
        <w:tc>
          <w:tcPr>
            <w:tcW w:w="1464" w:type="dxa"/>
            <w:tcBorders>
              <w:top w:val="nil"/>
              <w:left w:val="nil"/>
              <w:right w:val="nil"/>
            </w:tcBorders>
          </w:tcPr>
          <w:p w:rsidR="00687D5E" w:rsidRDefault="00687D5E" w:rsidP="00687D5E">
            <w:pPr>
              <w:jc w:val="center"/>
              <w:rPr>
                <w:rFonts w:ascii="Arial" w:hAnsi="Arial" w:cs="Arial"/>
                <w:sz w:val="22"/>
                <w:szCs w:val="22"/>
              </w:rPr>
            </w:pPr>
            <w:r>
              <w:rPr>
                <w:rFonts w:ascii="Arial" w:hAnsi="Arial" w:cs="Arial"/>
                <w:sz w:val="22"/>
                <w:szCs w:val="22"/>
              </w:rPr>
              <w:t>2015</w:t>
            </w:r>
          </w:p>
        </w:tc>
        <w:tc>
          <w:tcPr>
            <w:tcW w:w="1530" w:type="dxa"/>
            <w:tcBorders>
              <w:top w:val="nil"/>
              <w:left w:val="nil"/>
              <w:right w:val="nil"/>
            </w:tcBorders>
          </w:tcPr>
          <w:p w:rsidR="00687D5E" w:rsidRDefault="00687D5E" w:rsidP="00687D5E">
            <w:pPr>
              <w:jc w:val="center"/>
              <w:rPr>
                <w:rFonts w:ascii="Arial" w:hAnsi="Arial" w:cs="Arial"/>
                <w:sz w:val="22"/>
                <w:szCs w:val="22"/>
              </w:rPr>
            </w:pPr>
            <w:r>
              <w:rPr>
                <w:rFonts w:ascii="Arial" w:hAnsi="Arial" w:cs="Arial"/>
                <w:sz w:val="22"/>
                <w:szCs w:val="22"/>
              </w:rPr>
              <w:t>2014</w:t>
            </w:r>
          </w:p>
        </w:tc>
      </w:tr>
      <w:tr w:rsidR="00687D5E" w:rsidTr="00B77489">
        <w:tc>
          <w:tcPr>
            <w:tcW w:w="3600" w:type="dxa"/>
          </w:tcPr>
          <w:p w:rsidR="00687D5E" w:rsidRDefault="00687D5E" w:rsidP="00266FD1">
            <w:pPr>
              <w:rPr>
                <w:rFonts w:ascii="Arial" w:hAnsi="Arial" w:cs="Arial"/>
                <w:sz w:val="22"/>
                <w:szCs w:val="22"/>
              </w:rPr>
            </w:pPr>
            <w:r>
              <w:rPr>
                <w:rFonts w:ascii="Arial" w:hAnsi="Arial" w:cs="Arial"/>
                <w:sz w:val="22"/>
                <w:szCs w:val="22"/>
              </w:rPr>
              <w:t>Unserviceable</w:t>
            </w:r>
          </w:p>
        </w:tc>
        <w:tc>
          <w:tcPr>
            <w:tcW w:w="1464" w:type="dxa"/>
          </w:tcPr>
          <w:p w:rsidR="00687D5E" w:rsidRDefault="00687D5E" w:rsidP="00266FD1">
            <w:pPr>
              <w:rPr>
                <w:rFonts w:ascii="Arial" w:hAnsi="Arial" w:cs="Arial"/>
                <w:sz w:val="22"/>
                <w:szCs w:val="22"/>
              </w:rPr>
            </w:pPr>
            <w:r>
              <w:rPr>
                <w:rFonts w:ascii="Arial" w:hAnsi="Arial" w:cs="Arial"/>
                <w:sz w:val="22"/>
                <w:szCs w:val="22"/>
              </w:rPr>
              <w:t xml:space="preserve"> 40,913,857</w:t>
            </w:r>
          </w:p>
        </w:tc>
        <w:tc>
          <w:tcPr>
            <w:tcW w:w="1530" w:type="dxa"/>
          </w:tcPr>
          <w:p w:rsidR="00687D5E" w:rsidRDefault="00687D5E" w:rsidP="00266FD1">
            <w:pPr>
              <w:rPr>
                <w:rFonts w:ascii="Arial" w:hAnsi="Arial" w:cs="Arial"/>
                <w:sz w:val="22"/>
                <w:szCs w:val="22"/>
              </w:rPr>
            </w:pPr>
            <w:r>
              <w:rPr>
                <w:rFonts w:ascii="Arial" w:hAnsi="Arial" w:cs="Arial"/>
                <w:sz w:val="22"/>
                <w:szCs w:val="22"/>
              </w:rPr>
              <w:t xml:space="preserve"> 42,258,425</w:t>
            </w:r>
          </w:p>
        </w:tc>
      </w:tr>
      <w:tr w:rsidR="00687D5E" w:rsidTr="00B77489">
        <w:tc>
          <w:tcPr>
            <w:tcW w:w="3600" w:type="dxa"/>
          </w:tcPr>
          <w:p w:rsidR="00687D5E" w:rsidRDefault="00687D5E" w:rsidP="00266FD1">
            <w:pPr>
              <w:rPr>
                <w:rFonts w:ascii="Arial" w:hAnsi="Arial" w:cs="Arial"/>
                <w:sz w:val="22"/>
                <w:szCs w:val="22"/>
              </w:rPr>
            </w:pPr>
            <w:r>
              <w:rPr>
                <w:rFonts w:ascii="Arial" w:hAnsi="Arial" w:cs="Arial"/>
                <w:sz w:val="22"/>
                <w:szCs w:val="22"/>
              </w:rPr>
              <w:t>Add: Condemned</w:t>
            </w:r>
          </w:p>
        </w:tc>
        <w:tc>
          <w:tcPr>
            <w:tcW w:w="1464" w:type="dxa"/>
          </w:tcPr>
          <w:p w:rsidR="00687D5E" w:rsidRDefault="00687D5E" w:rsidP="00266FD1">
            <w:pPr>
              <w:rPr>
                <w:rFonts w:ascii="Arial" w:hAnsi="Arial" w:cs="Arial"/>
                <w:sz w:val="22"/>
                <w:szCs w:val="22"/>
              </w:rPr>
            </w:pPr>
            <w:r>
              <w:rPr>
                <w:rFonts w:ascii="Arial" w:hAnsi="Arial" w:cs="Arial"/>
                <w:sz w:val="22"/>
                <w:szCs w:val="22"/>
              </w:rPr>
              <w:t xml:space="preserve">          5,126</w:t>
            </w:r>
          </w:p>
        </w:tc>
        <w:tc>
          <w:tcPr>
            <w:tcW w:w="1530" w:type="dxa"/>
          </w:tcPr>
          <w:p w:rsidR="00687D5E" w:rsidRDefault="00687D5E" w:rsidP="00687D5E">
            <w:pPr>
              <w:jc w:val="center"/>
              <w:rPr>
                <w:rFonts w:ascii="Arial" w:hAnsi="Arial" w:cs="Arial"/>
                <w:sz w:val="22"/>
                <w:szCs w:val="22"/>
              </w:rPr>
            </w:pPr>
            <w:r>
              <w:rPr>
                <w:rFonts w:ascii="Arial" w:hAnsi="Arial" w:cs="Arial"/>
                <w:sz w:val="22"/>
                <w:szCs w:val="22"/>
              </w:rPr>
              <w:t xml:space="preserve">             0</w:t>
            </w:r>
          </w:p>
        </w:tc>
      </w:tr>
      <w:tr w:rsidR="00687D5E" w:rsidTr="00B77489">
        <w:tc>
          <w:tcPr>
            <w:tcW w:w="3600" w:type="dxa"/>
          </w:tcPr>
          <w:p w:rsidR="00687D5E" w:rsidRDefault="00687D5E" w:rsidP="00266FD1">
            <w:pPr>
              <w:rPr>
                <w:rFonts w:ascii="Arial" w:hAnsi="Arial" w:cs="Arial"/>
                <w:sz w:val="22"/>
                <w:szCs w:val="22"/>
              </w:rPr>
            </w:pPr>
            <w:r>
              <w:rPr>
                <w:rFonts w:ascii="Arial" w:hAnsi="Arial" w:cs="Arial"/>
                <w:sz w:val="22"/>
                <w:szCs w:val="22"/>
              </w:rPr>
              <w:t>Total</w:t>
            </w:r>
          </w:p>
        </w:tc>
        <w:tc>
          <w:tcPr>
            <w:tcW w:w="1464" w:type="dxa"/>
          </w:tcPr>
          <w:p w:rsidR="00687D5E" w:rsidRDefault="00687D5E" w:rsidP="00266FD1">
            <w:pPr>
              <w:rPr>
                <w:rFonts w:ascii="Arial" w:hAnsi="Arial" w:cs="Arial"/>
                <w:sz w:val="22"/>
                <w:szCs w:val="22"/>
              </w:rPr>
            </w:pPr>
            <w:r>
              <w:rPr>
                <w:rFonts w:ascii="Arial" w:hAnsi="Arial" w:cs="Arial"/>
                <w:sz w:val="22"/>
                <w:szCs w:val="22"/>
              </w:rPr>
              <w:t xml:space="preserve"> 40,918,983</w:t>
            </w:r>
          </w:p>
        </w:tc>
        <w:tc>
          <w:tcPr>
            <w:tcW w:w="1530" w:type="dxa"/>
          </w:tcPr>
          <w:p w:rsidR="00687D5E" w:rsidRDefault="00687D5E" w:rsidP="00266FD1">
            <w:pPr>
              <w:rPr>
                <w:rFonts w:ascii="Arial" w:hAnsi="Arial" w:cs="Arial"/>
                <w:sz w:val="22"/>
                <w:szCs w:val="22"/>
              </w:rPr>
            </w:pPr>
            <w:r>
              <w:rPr>
                <w:rFonts w:ascii="Arial" w:hAnsi="Arial" w:cs="Arial"/>
                <w:sz w:val="22"/>
                <w:szCs w:val="22"/>
              </w:rPr>
              <w:t xml:space="preserve"> 42,258,425</w:t>
            </w:r>
          </w:p>
        </w:tc>
      </w:tr>
      <w:tr w:rsidR="00687D5E" w:rsidTr="00B77489">
        <w:tc>
          <w:tcPr>
            <w:tcW w:w="3600" w:type="dxa"/>
          </w:tcPr>
          <w:p w:rsidR="00687D5E" w:rsidRDefault="00687D5E" w:rsidP="00266FD1">
            <w:pPr>
              <w:rPr>
                <w:rFonts w:ascii="Arial" w:hAnsi="Arial" w:cs="Arial"/>
                <w:sz w:val="22"/>
                <w:szCs w:val="22"/>
              </w:rPr>
            </w:pPr>
            <w:r>
              <w:rPr>
                <w:rFonts w:ascii="Arial" w:hAnsi="Arial" w:cs="Arial"/>
                <w:sz w:val="22"/>
                <w:szCs w:val="22"/>
              </w:rPr>
              <w:t>Less: Allowance for Obsolescence</w:t>
            </w:r>
          </w:p>
        </w:tc>
        <w:tc>
          <w:tcPr>
            <w:tcW w:w="1464" w:type="dxa"/>
          </w:tcPr>
          <w:p w:rsidR="00687D5E" w:rsidRDefault="00687D5E" w:rsidP="00266FD1">
            <w:pPr>
              <w:rPr>
                <w:rFonts w:ascii="Arial" w:hAnsi="Arial" w:cs="Arial"/>
                <w:sz w:val="22"/>
                <w:szCs w:val="22"/>
              </w:rPr>
            </w:pPr>
            <w:r>
              <w:rPr>
                <w:rFonts w:ascii="Arial" w:hAnsi="Arial" w:cs="Arial"/>
                <w:sz w:val="22"/>
                <w:szCs w:val="22"/>
              </w:rPr>
              <w:t>(23,563,740)</w:t>
            </w:r>
          </w:p>
        </w:tc>
        <w:tc>
          <w:tcPr>
            <w:tcW w:w="1530" w:type="dxa"/>
          </w:tcPr>
          <w:p w:rsidR="00687D5E" w:rsidRDefault="00687D5E" w:rsidP="00266FD1">
            <w:pPr>
              <w:rPr>
                <w:rFonts w:ascii="Arial" w:hAnsi="Arial" w:cs="Arial"/>
                <w:sz w:val="22"/>
                <w:szCs w:val="22"/>
              </w:rPr>
            </w:pPr>
            <w:r>
              <w:rPr>
                <w:rFonts w:ascii="Arial" w:hAnsi="Arial" w:cs="Arial"/>
                <w:sz w:val="22"/>
                <w:szCs w:val="22"/>
              </w:rPr>
              <w:t>(23,563,740)</w:t>
            </w:r>
          </w:p>
        </w:tc>
      </w:tr>
      <w:tr w:rsidR="00687D5E" w:rsidTr="00B77489">
        <w:tc>
          <w:tcPr>
            <w:tcW w:w="3600" w:type="dxa"/>
          </w:tcPr>
          <w:p w:rsidR="00687D5E" w:rsidRDefault="00687D5E" w:rsidP="00266FD1">
            <w:pPr>
              <w:rPr>
                <w:rFonts w:ascii="Arial" w:hAnsi="Arial" w:cs="Arial"/>
                <w:sz w:val="22"/>
                <w:szCs w:val="22"/>
              </w:rPr>
            </w:pPr>
            <w:r>
              <w:rPr>
                <w:rFonts w:ascii="Arial" w:hAnsi="Arial" w:cs="Arial"/>
                <w:sz w:val="22"/>
                <w:szCs w:val="22"/>
              </w:rPr>
              <w:t>Under Provision</w:t>
            </w:r>
          </w:p>
        </w:tc>
        <w:tc>
          <w:tcPr>
            <w:tcW w:w="1464" w:type="dxa"/>
          </w:tcPr>
          <w:p w:rsidR="00687D5E" w:rsidRDefault="00687D5E" w:rsidP="00266FD1">
            <w:pPr>
              <w:rPr>
                <w:rFonts w:ascii="Arial" w:hAnsi="Arial" w:cs="Arial"/>
                <w:sz w:val="22"/>
                <w:szCs w:val="22"/>
              </w:rPr>
            </w:pPr>
            <w:r>
              <w:rPr>
                <w:rFonts w:ascii="Arial" w:hAnsi="Arial" w:cs="Arial"/>
                <w:sz w:val="22"/>
                <w:szCs w:val="22"/>
              </w:rPr>
              <w:t xml:space="preserve"> 17,355,243</w:t>
            </w:r>
          </w:p>
        </w:tc>
        <w:tc>
          <w:tcPr>
            <w:tcW w:w="1530" w:type="dxa"/>
          </w:tcPr>
          <w:p w:rsidR="00687D5E" w:rsidRDefault="00687D5E" w:rsidP="00266FD1">
            <w:pPr>
              <w:rPr>
                <w:rFonts w:ascii="Arial" w:hAnsi="Arial" w:cs="Arial"/>
                <w:sz w:val="22"/>
                <w:szCs w:val="22"/>
              </w:rPr>
            </w:pPr>
            <w:r>
              <w:rPr>
                <w:rFonts w:ascii="Arial" w:hAnsi="Arial" w:cs="Arial"/>
                <w:sz w:val="22"/>
                <w:szCs w:val="22"/>
              </w:rPr>
              <w:t xml:space="preserve"> 18,694,685</w:t>
            </w:r>
          </w:p>
        </w:tc>
      </w:tr>
    </w:tbl>
    <w:p w:rsidR="00460474" w:rsidRDefault="00460474" w:rsidP="00460474">
      <w:pPr>
        <w:ind w:left="450"/>
        <w:rPr>
          <w:rFonts w:ascii="Arial" w:hAnsi="Arial" w:cs="Arial"/>
          <w:sz w:val="22"/>
          <w:szCs w:val="22"/>
        </w:rPr>
      </w:pPr>
    </w:p>
    <w:p w:rsidR="00460474" w:rsidRDefault="00460474" w:rsidP="00834D8A">
      <w:pPr>
        <w:ind w:left="360"/>
        <w:rPr>
          <w:rFonts w:ascii="Arial" w:hAnsi="Arial" w:cs="Arial"/>
          <w:sz w:val="22"/>
          <w:szCs w:val="22"/>
        </w:rPr>
      </w:pPr>
    </w:p>
    <w:p w:rsidR="00460474" w:rsidRDefault="00460474" w:rsidP="00834D8A">
      <w:pPr>
        <w:ind w:left="360"/>
        <w:rPr>
          <w:rFonts w:ascii="Arial" w:hAnsi="Arial" w:cs="Arial"/>
          <w:sz w:val="22"/>
          <w:szCs w:val="22"/>
        </w:rPr>
      </w:pPr>
    </w:p>
    <w:p w:rsidR="006646CA" w:rsidRDefault="006646CA" w:rsidP="00834D8A">
      <w:pPr>
        <w:ind w:left="360"/>
        <w:rPr>
          <w:rFonts w:ascii="Arial" w:hAnsi="Arial" w:cs="Arial"/>
          <w:sz w:val="22"/>
          <w:szCs w:val="22"/>
        </w:rPr>
      </w:pPr>
    </w:p>
    <w:p w:rsidR="006646CA" w:rsidRDefault="006646CA" w:rsidP="006646CA">
      <w:pPr>
        <w:ind w:left="360"/>
        <w:rPr>
          <w:rFonts w:ascii="Arial" w:hAnsi="Arial" w:cs="Arial"/>
          <w:sz w:val="22"/>
          <w:szCs w:val="22"/>
        </w:rPr>
      </w:pPr>
      <w:r>
        <w:rPr>
          <w:rFonts w:ascii="Arial" w:hAnsi="Arial" w:cs="Arial"/>
          <w:sz w:val="22"/>
          <w:szCs w:val="22"/>
        </w:rPr>
        <w:lastRenderedPageBreak/>
        <w:t>In the Annual Audit Report for CY 2009, an issue on the non-adjustment of inventory valuation for twenty-two (22) years was raised to emphasize the severity of Management’s deviation from established accounting standards.</w:t>
      </w:r>
      <w:r w:rsidR="00EC5189" w:rsidRPr="00EC5189">
        <w:rPr>
          <w:rFonts w:ascii="Arial" w:hAnsi="Arial" w:cs="Arial"/>
          <w:sz w:val="22"/>
          <w:szCs w:val="22"/>
        </w:rPr>
        <w:t xml:space="preserve"> </w:t>
      </w:r>
      <w:r w:rsidR="00EC5189">
        <w:rPr>
          <w:rFonts w:ascii="Arial" w:hAnsi="Arial" w:cs="Arial"/>
          <w:sz w:val="22"/>
          <w:szCs w:val="22"/>
        </w:rPr>
        <w:t>It has been previously agreed upon during prior years’ exit conferences that an independent third party appraiser be commissioned by Management to evaluate and appraise the Corporation’s aircraft parts inventory for the purpose of establishing a well-founded basis for the valuation of said inventory.  R</w:t>
      </w:r>
      <w:r>
        <w:rPr>
          <w:rFonts w:ascii="Arial" w:hAnsi="Arial" w:cs="Arial"/>
          <w:sz w:val="22"/>
          <w:szCs w:val="22"/>
        </w:rPr>
        <w:t>egrettably, this inventory valuation concern has not been fully addressed in the previous years up to the current CY 2015.</w:t>
      </w:r>
    </w:p>
    <w:p w:rsidR="006646CA" w:rsidRDefault="006646CA" w:rsidP="006646CA">
      <w:pPr>
        <w:ind w:left="360"/>
        <w:rPr>
          <w:rFonts w:ascii="Arial" w:hAnsi="Arial" w:cs="Arial"/>
          <w:sz w:val="22"/>
          <w:szCs w:val="22"/>
        </w:rPr>
      </w:pPr>
    </w:p>
    <w:p w:rsidR="006646CA" w:rsidRDefault="006646CA" w:rsidP="006646CA">
      <w:pPr>
        <w:ind w:left="360"/>
        <w:rPr>
          <w:rFonts w:ascii="Arial" w:hAnsi="Arial" w:cs="Arial"/>
          <w:sz w:val="22"/>
          <w:szCs w:val="22"/>
        </w:rPr>
      </w:pPr>
      <w:r>
        <w:rPr>
          <w:rFonts w:ascii="Arial" w:hAnsi="Arial" w:cs="Arial"/>
          <w:sz w:val="22"/>
          <w:szCs w:val="22"/>
        </w:rPr>
        <w:t xml:space="preserve">One of the concerns brought up by Management in a previous exit conference was the steep cost of such evaluation by an independent appraisal company in order to correct an accounting error which will not result into a tangible benefit in terms of revenue stream.  </w:t>
      </w:r>
      <w:r w:rsidR="00EC5189">
        <w:rPr>
          <w:rFonts w:ascii="Arial" w:hAnsi="Arial" w:cs="Arial"/>
          <w:sz w:val="22"/>
          <w:szCs w:val="22"/>
        </w:rPr>
        <w:t xml:space="preserve">While we take cognizance of Management’s concern on the costly fees of an independent third party appraiser, </w:t>
      </w:r>
      <w:r>
        <w:rPr>
          <w:rFonts w:ascii="Arial" w:hAnsi="Arial" w:cs="Arial"/>
          <w:sz w:val="22"/>
          <w:szCs w:val="22"/>
        </w:rPr>
        <w:t>we stand by our position that this accounting mistreatment must not be perpetually carried in the books of accounts.</w:t>
      </w:r>
    </w:p>
    <w:p w:rsidR="006646CA" w:rsidRDefault="006646CA" w:rsidP="006646CA">
      <w:pPr>
        <w:ind w:left="360"/>
        <w:rPr>
          <w:rFonts w:ascii="Arial" w:hAnsi="Arial" w:cs="Arial"/>
          <w:sz w:val="22"/>
          <w:szCs w:val="22"/>
        </w:rPr>
      </w:pPr>
    </w:p>
    <w:p w:rsidR="006646CA" w:rsidRDefault="00EC5189" w:rsidP="006646CA">
      <w:pPr>
        <w:ind w:left="360"/>
        <w:rPr>
          <w:rFonts w:ascii="Arial" w:hAnsi="Arial" w:cs="Arial"/>
          <w:sz w:val="22"/>
          <w:szCs w:val="22"/>
        </w:rPr>
      </w:pPr>
      <w:r>
        <w:rPr>
          <w:rFonts w:ascii="Arial" w:hAnsi="Arial" w:cs="Arial"/>
          <w:sz w:val="22"/>
          <w:szCs w:val="22"/>
        </w:rPr>
        <w:t>W</w:t>
      </w:r>
      <w:r w:rsidR="006646CA">
        <w:rPr>
          <w:rFonts w:ascii="Arial" w:hAnsi="Arial" w:cs="Arial"/>
          <w:sz w:val="22"/>
          <w:szCs w:val="22"/>
        </w:rPr>
        <w:t>e recommend</w:t>
      </w:r>
      <w:r w:rsidR="006475AB">
        <w:rPr>
          <w:rFonts w:ascii="Arial" w:hAnsi="Arial" w:cs="Arial"/>
          <w:sz w:val="22"/>
          <w:szCs w:val="22"/>
        </w:rPr>
        <w:t>ed</w:t>
      </w:r>
      <w:r w:rsidR="001C2A85">
        <w:rPr>
          <w:rFonts w:ascii="Arial" w:hAnsi="Arial" w:cs="Arial"/>
          <w:sz w:val="22"/>
          <w:szCs w:val="22"/>
        </w:rPr>
        <w:t xml:space="preserve"> </w:t>
      </w:r>
      <w:r w:rsidR="006646CA">
        <w:rPr>
          <w:rFonts w:ascii="Arial" w:hAnsi="Arial" w:cs="Arial"/>
          <w:sz w:val="22"/>
          <w:szCs w:val="22"/>
        </w:rPr>
        <w:t xml:space="preserve">that PADC explore other feasible means to address this issue such as </w:t>
      </w:r>
      <w:r>
        <w:rPr>
          <w:rFonts w:ascii="Arial" w:hAnsi="Arial" w:cs="Arial"/>
          <w:sz w:val="22"/>
          <w:szCs w:val="22"/>
        </w:rPr>
        <w:t>the possibility of</w:t>
      </w:r>
      <w:r w:rsidR="006646CA">
        <w:rPr>
          <w:rFonts w:ascii="Arial" w:hAnsi="Arial" w:cs="Arial"/>
          <w:sz w:val="22"/>
          <w:szCs w:val="22"/>
        </w:rPr>
        <w:t xml:space="preserve"> obtaining the expertise of private aircraft technical individuals that may be competent to perform an appraisal of said inventory.</w:t>
      </w:r>
    </w:p>
    <w:p w:rsidR="00DA61E0" w:rsidRDefault="00DA61E0" w:rsidP="006646CA">
      <w:pPr>
        <w:ind w:left="360"/>
        <w:rPr>
          <w:rFonts w:ascii="Arial" w:hAnsi="Arial" w:cs="Arial"/>
          <w:sz w:val="22"/>
          <w:szCs w:val="22"/>
        </w:rPr>
      </w:pPr>
    </w:p>
    <w:p w:rsidR="00EE18F1" w:rsidRDefault="00EE18F1" w:rsidP="00200BDE">
      <w:pPr>
        <w:tabs>
          <w:tab w:val="left" w:pos="360"/>
        </w:tabs>
        <w:ind w:left="360" w:right="-18"/>
        <w:rPr>
          <w:rFonts w:ascii="Arial" w:hAnsi="Arial" w:cs="Arial"/>
          <w:sz w:val="22"/>
          <w:szCs w:val="22"/>
        </w:rPr>
      </w:pPr>
      <w:r>
        <w:rPr>
          <w:rFonts w:ascii="Arial" w:hAnsi="Arial" w:cs="Arial"/>
          <w:sz w:val="22"/>
          <w:szCs w:val="22"/>
        </w:rPr>
        <w:t xml:space="preserve">Management agreed to have </w:t>
      </w:r>
      <w:r w:rsidR="00200BDE">
        <w:rPr>
          <w:rFonts w:ascii="Arial" w:hAnsi="Arial" w:cs="Arial"/>
          <w:sz w:val="22"/>
          <w:szCs w:val="22"/>
        </w:rPr>
        <w:t>the</w:t>
      </w:r>
      <w:r>
        <w:rPr>
          <w:rFonts w:ascii="Arial" w:hAnsi="Arial" w:cs="Arial"/>
          <w:sz w:val="22"/>
          <w:szCs w:val="22"/>
        </w:rPr>
        <w:t xml:space="preserve"> inventories classified as unserviceable to be evaluated by its own engineers and technicians and </w:t>
      </w:r>
      <w:r w:rsidR="00200BDE">
        <w:rPr>
          <w:rFonts w:ascii="Arial" w:hAnsi="Arial" w:cs="Arial"/>
          <w:sz w:val="22"/>
          <w:szCs w:val="22"/>
        </w:rPr>
        <w:t xml:space="preserve">to </w:t>
      </w:r>
      <w:r>
        <w:rPr>
          <w:rFonts w:ascii="Arial" w:hAnsi="Arial" w:cs="Arial"/>
          <w:sz w:val="22"/>
          <w:szCs w:val="22"/>
        </w:rPr>
        <w:t>make recommendations</w:t>
      </w:r>
      <w:r w:rsidR="00200BDE">
        <w:rPr>
          <w:rFonts w:ascii="Arial" w:hAnsi="Arial" w:cs="Arial"/>
          <w:sz w:val="22"/>
          <w:szCs w:val="22"/>
        </w:rPr>
        <w:t xml:space="preserve"> to  the PADC Board  on</w:t>
      </w:r>
      <w:r>
        <w:rPr>
          <w:rFonts w:ascii="Arial" w:hAnsi="Arial" w:cs="Arial"/>
          <w:sz w:val="22"/>
          <w:szCs w:val="22"/>
        </w:rPr>
        <w:t xml:space="preserve"> how to deal or dispose of those inventories that will little by little cleanse the inventory record and correct the amount reflected in the books. </w:t>
      </w:r>
      <w:r w:rsidR="00200BDE">
        <w:rPr>
          <w:rFonts w:ascii="Arial" w:hAnsi="Arial" w:cs="Arial"/>
          <w:sz w:val="22"/>
          <w:szCs w:val="22"/>
        </w:rPr>
        <w:t>Likewise, M</w:t>
      </w:r>
      <w:r w:rsidR="002823C1">
        <w:rPr>
          <w:rFonts w:ascii="Arial" w:hAnsi="Arial" w:cs="Arial"/>
          <w:sz w:val="22"/>
          <w:szCs w:val="22"/>
        </w:rPr>
        <w:t>anagement</w:t>
      </w:r>
      <w:r>
        <w:rPr>
          <w:rFonts w:ascii="Arial" w:hAnsi="Arial" w:cs="Arial"/>
          <w:sz w:val="22"/>
          <w:szCs w:val="22"/>
        </w:rPr>
        <w:t xml:space="preserve"> committed </w:t>
      </w:r>
      <w:r w:rsidR="00200BDE">
        <w:rPr>
          <w:rFonts w:ascii="Arial" w:hAnsi="Arial" w:cs="Arial"/>
          <w:sz w:val="22"/>
          <w:szCs w:val="22"/>
        </w:rPr>
        <w:t>to</w:t>
      </w:r>
      <w:r>
        <w:rPr>
          <w:rFonts w:ascii="Arial" w:hAnsi="Arial" w:cs="Arial"/>
          <w:sz w:val="22"/>
          <w:szCs w:val="22"/>
        </w:rPr>
        <w:t xml:space="preserve"> reconcile </w:t>
      </w:r>
      <w:r w:rsidR="00200BDE">
        <w:rPr>
          <w:rFonts w:ascii="Arial" w:hAnsi="Arial" w:cs="Arial"/>
          <w:sz w:val="22"/>
          <w:szCs w:val="22"/>
        </w:rPr>
        <w:t>the</w:t>
      </w:r>
      <w:r>
        <w:rPr>
          <w:rFonts w:ascii="Arial" w:hAnsi="Arial" w:cs="Arial"/>
          <w:sz w:val="22"/>
          <w:szCs w:val="22"/>
        </w:rPr>
        <w:t xml:space="preserve"> inventory report with that recorded in the books and eventually </w:t>
      </w:r>
      <w:r w:rsidR="00200BDE">
        <w:rPr>
          <w:rFonts w:ascii="Arial" w:hAnsi="Arial" w:cs="Arial"/>
          <w:sz w:val="22"/>
          <w:szCs w:val="22"/>
        </w:rPr>
        <w:t>take up the necessary adjustments</w:t>
      </w:r>
      <w:r>
        <w:rPr>
          <w:rFonts w:ascii="Arial" w:hAnsi="Arial" w:cs="Arial"/>
          <w:sz w:val="22"/>
          <w:szCs w:val="22"/>
        </w:rPr>
        <w:t xml:space="preserve">. </w:t>
      </w:r>
    </w:p>
    <w:p w:rsidR="00200BDE" w:rsidRPr="007E0170" w:rsidRDefault="00200BDE" w:rsidP="00200BDE">
      <w:pPr>
        <w:ind w:left="360" w:right="-18" w:hanging="360"/>
        <w:rPr>
          <w:rFonts w:ascii="Arial" w:hAnsi="Arial" w:cs="Arial"/>
          <w:sz w:val="22"/>
          <w:szCs w:val="22"/>
        </w:rPr>
      </w:pPr>
    </w:p>
    <w:p w:rsidR="002823C1" w:rsidRPr="00200BDE" w:rsidRDefault="002823C1" w:rsidP="00200BDE">
      <w:pPr>
        <w:pStyle w:val="ListParagraph"/>
        <w:numPr>
          <w:ilvl w:val="0"/>
          <w:numId w:val="35"/>
        </w:numPr>
        <w:rPr>
          <w:rFonts w:ascii="Arial" w:hAnsi="Arial" w:cs="Arial"/>
          <w:b/>
          <w:sz w:val="22"/>
          <w:szCs w:val="22"/>
        </w:rPr>
      </w:pPr>
      <w:r w:rsidRPr="00200BDE">
        <w:rPr>
          <w:rFonts w:ascii="Arial" w:hAnsi="Arial" w:cs="Arial"/>
          <w:b/>
          <w:sz w:val="22"/>
          <w:szCs w:val="22"/>
        </w:rPr>
        <w:t xml:space="preserve">PADC has yet to remit </w:t>
      </w:r>
      <w:r w:rsidR="001B424B">
        <w:rPr>
          <w:rFonts w:ascii="Arial" w:hAnsi="Arial" w:cs="Arial"/>
          <w:b/>
          <w:sz w:val="22"/>
          <w:szCs w:val="22"/>
        </w:rPr>
        <w:t xml:space="preserve">to the National Government (NG) </w:t>
      </w:r>
      <w:r w:rsidRPr="00200BDE">
        <w:rPr>
          <w:rFonts w:ascii="Arial" w:hAnsi="Arial" w:cs="Arial"/>
          <w:b/>
          <w:sz w:val="22"/>
          <w:szCs w:val="22"/>
        </w:rPr>
        <w:t>P6.840</w:t>
      </w:r>
      <w:r w:rsidR="001B424B">
        <w:rPr>
          <w:rFonts w:ascii="Arial" w:hAnsi="Arial" w:cs="Arial"/>
          <w:b/>
          <w:sz w:val="22"/>
          <w:szCs w:val="22"/>
        </w:rPr>
        <w:t xml:space="preserve"> </w:t>
      </w:r>
      <w:r w:rsidR="008974FF">
        <w:rPr>
          <w:rFonts w:ascii="Arial" w:hAnsi="Arial" w:cs="Arial"/>
          <w:b/>
          <w:sz w:val="22"/>
          <w:szCs w:val="22"/>
        </w:rPr>
        <w:t xml:space="preserve">million </w:t>
      </w:r>
      <w:r w:rsidR="008974FF" w:rsidRPr="00200BDE">
        <w:rPr>
          <w:rFonts w:ascii="Arial" w:hAnsi="Arial" w:cs="Arial"/>
          <w:b/>
          <w:sz w:val="22"/>
          <w:szCs w:val="22"/>
        </w:rPr>
        <w:t>dividends</w:t>
      </w:r>
      <w:r w:rsidRPr="00200BDE">
        <w:rPr>
          <w:rFonts w:ascii="Arial" w:hAnsi="Arial" w:cs="Arial"/>
          <w:b/>
          <w:sz w:val="22"/>
          <w:szCs w:val="22"/>
        </w:rPr>
        <w:t xml:space="preserve"> </w:t>
      </w:r>
      <w:r w:rsidR="0082118F">
        <w:rPr>
          <w:rFonts w:ascii="Arial" w:hAnsi="Arial" w:cs="Arial"/>
          <w:b/>
          <w:sz w:val="22"/>
          <w:szCs w:val="22"/>
        </w:rPr>
        <w:t xml:space="preserve">due </w:t>
      </w:r>
      <w:r w:rsidR="001B424B">
        <w:rPr>
          <w:rFonts w:ascii="Arial" w:hAnsi="Arial" w:cs="Arial"/>
          <w:b/>
          <w:sz w:val="22"/>
          <w:szCs w:val="22"/>
        </w:rPr>
        <w:t xml:space="preserve">on </w:t>
      </w:r>
      <w:r w:rsidRPr="00200BDE">
        <w:rPr>
          <w:rFonts w:ascii="Arial" w:hAnsi="Arial" w:cs="Arial"/>
          <w:b/>
          <w:sz w:val="22"/>
          <w:szCs w:val="22"/>
        </w:rPr>
        <w:t>past and current years’ earnings as required by RA 7656.</w:t>
      </w:r>
    </w:p>
    <w:p w:rsidR="006E75E4" w:rsidRDefault="006E75E4" w:rsidP="006E75E4">
      <w:pPr>
        <w:pStyle w:val="ListParagraph"/>
        <w:ind w:left="360"/>
        <w:rPr>
          <w:rFonts w:ascii="Arial" w:hAnsi="Arial" w:cs="Arial"/>
          <w:b/>
          <w:sz w:val="22"/>
          <w:szCs w:val="22"/>
        </w:rPr>
      </w:pPr>
    </w:p>
    <w:p w:rsidR="008974FF" w:rsidRDefault="008974FF" w:rsidP="006E75E4">
      <w:pPr>
        <w:pStyle w:val="ListParagraph"/>
        <w:ind w:left="360"/>
        <w:rPr>
          <w:rFonts w:ascii="Arial" w:hAnsi="Arial" w:cs="Arial"/>
          <w:sz w:val="22"/>
          <w:szCs w:val="22"/>
        </w:rPr>
      </w:pPr>
      <w:r>
        <w:rPr>
          <w:rFonts w:ascii="Arial" w:hAnsi="Arial" w:cs="Arial"/>
          <w:sz w:val="22"/>
          <w:szCs w:val="22"/>
        </w:rPr>
        <w:t>(This is a reiteration of audit observations previously raised in the Annual Audit Reports for CYs 2011 and 2012.)</w:t>
      </w:r>
    </w:p>
    <w:p w:rsidR="008974FF" w:rsidRPr="008974FF" w:rsidRDefault="008974FF" w:rsidP="006E75E4">
      <w:pPr>
        <w:pStyle w:val="ListParagraph"/>
        <w:ind w:left="360"/>
        <w:rPr>
          <w:rFonts w:ascii="Arial" w:hAnsi="Arial" w:cs="Arial"/>
          <w:sz w:val="22"/>
          <w:szCs w:val="22"/>
        </w:rPr>
      </w:pPr>
    </w:p>
    <w:p w:rsidR="006E75E4" w:rsidRDefault="006E75E4" w:rsidP="006E75E4">
      <w:pPr>
        <w:ind w:left="360"/>
        <w:rPr>
          <w:rFonts w:ascii="Arial" w:hAnsi="Arial" w:cs="Arial"/>
          <w:bCs/>
          <w:sz w:val="22"/>
          <w:szCs w:val="22"/>
        </w:rPr>
      </w:pPr>
      <w:r w:rsidRPr="00AA19D3">
        <w:rPr>
          <w:rFonts w:ascii="Arial" w:hAnsi="Arial" w:cs="Arial"/>
          <w:bCs/>
          <w:sz w:val="22"/>
          <w:szCs w:val="22"/>
        </w:rPr>
        <w:t>Section 3</w:t>
      </w:r>
      <w:r>
        <w:rPr>
          <w:rFonts w:ascii="Arial" w:hAnsi="Arial" w:cs="Arial"/>
          <w:bCs/>
          <w:sz w:val="22"/>
          <w:szCs w:val="22"/>
        </w:rPr>
        <w:t xml:space="preserve"> of </w:t>
      </w:r>
      <w:r w:rsidRPr="00AA19D3">
        <w:rPr>
          <w:rFonts w:ascii="Arial" w:hAnsi="Arial" w:cs="Arial"/>
          <w:bCs/>
          <w:sz w:val="22"/>
          <w:szCs w:val="22"/>
        </w:rPr>
        <w:t>RA 7656</w:t>
      </w:r>
      <w:r>
        <w:rPr>
          <w:rFonts w:ascii="Arial" w:hAnsi="Arial" w:cs="Arial"/>
          <w:bCs/>
          <w:sz w:val="22"/>
          <w:szCs w:val="22"/>
        </w:rPr>
        <w:t>, the “Act Requiring Government-Owned and/or Controlled Corporations to Declare Dividends, Under Certain Conditions to the National Government, and For Other Purposes”,</w:t>
      </w:r>
      <w:r w:rsidRPr="00AA19D3">
        <w:rPr>
          <w:rFonts w:ascii="Arial" w:hAnsi="Arial" w:cs="Arial"/>
          <w:bCs/>
          <w:sz w:val="22"/>
          <w:szCs w:val="22"/>
        </w:rPr>
        <w:t xml:space="preserve"> </w:t>
      </w:r>
      <w:r>
        <w:rPr>
          <w:rFonts w:ascii="Arial" w:hAnsi="Arial" w:cs="Arial"/>
          <w:bCs/>
          <w:sz w:val="22"/>
          <w:szCs w:val="22"/>
        </w:rPr>
        <w:t xml:space="preserve">requires </w:t>
      </w:r>
      <w:r w:rsidRPr="00AA19D3">
        <w:rPr>
          <w:rFonts w:ascii="Arial" w:hAnsi="Arial" w:cs="Arial"/>
          <w:bCs/>
          <w:sz w:val="22"/>
          <w:szCs w:val="22"/>
        </w:rPr>
        <w:t xml:space="preserve">that </w:t>
      </w:r>
      <w:r>
        <w:rPr>
          <w:rFonts w:ascii="Arial" w:hAnsi="Arial" w:cs="Arial"/>
          <w:bCs/>
          <w:sz w:val="22"/>
          <w:szCs w:val="22"/>
        </w:rPr>
        <w:t>a</w:t>
      </w:r>
      <w:r w:rsidRPr="00AA19D3">
        <w:rPr>
          <w:rFonts w:ascii="Arial" w:hAnsi="Arial" w:cs="Arial"/>
          <w:bCs/>
          <w:sz w:val="22"/>
          <w:szCs w:val="22"/>
        </w:rPr>
        <w:t>ll government</w:t>
      </w:r>
      <w:r w:rsidR="008974FF">
        <w:rPr>
          <w:rFonts w:ascii="Arial" w:hAnsi="Arial" w:cs="Arial"/>
          <w:bCs/>
          <w:sz w:val="22"/>
          <w:szCs w:val="22"/>
        </w:rPr>
        <w:t>-</w:t>
      </w:r>
      <w:r w:rsidRPr="00AA19D3">
        <w:rPr>
          <w:rFonts w:ascii="Arial" w:hAnsi="Arial" w:cs="Arial"/>
          <w:bCs/>
          <w:sz w:val="22"/>
          <w:szCs w:val="22"/>
        </w:rPr>
        <w:t xml:space="preserve">owned or controlled corporations declare and remit at least fifty percent (50%) of their annual net earnings as cash, stock or property dividends to the National </w:t>
      </w:r>
      <w:r w:rsidR="005E49FE" w:rsidRPr="00AA19D3">
        <w:rPr>
          <w:rFonts w:ascii="Arial" w:hAnsi="Arial" w:cs="Arial"/>
          <w:bCs/>
          <w:sz w:val="22"/>
          <w:szCs w:val="22"/>
        </w:rPr>
        <w:t>Government</w:t>
      </w:r>
      <w:r w:rsidR="005E49FE">
        <w:rPr>
          <w:rFonts w:ascii="Arial" w:hAnsi="Arial" w:cs="Arial"/>
          <w:bCs/>
          <w:sz w:val="22"/>
          <w:szCs w:val="22"/>
        </w:rPr>
        <w:t>.</w:t>
      </w:r>
    </w:p>
    <w:p w:rsidR="006E75E4" w:rsidRDefault="006E75E4" w:rsidP="006E75E4">
      <w:pPr>
        <w:ind w:left="360"/>
        <w:rPr>
          <w:rFonts w:ascii="Arial" w:hAnsi="Arial" w:cs="Arial"/>
          <w:bCs/>
          <w:sz w:val="22"/>
          <w:szCs w:val="22"/>
        </w:rPr>
      </w:pPr>
    </w:p>
    <w:p w:rsidR="006E75E4" w:rsidRDefault="006E75E4" w:rsidP="006E75E4">
      <w:pPr>
        <w:ind w:left="360"/>
        <w:rPr>
          <w:rFonts w:ascii="Arial" w:hAnsi="Arial" w:cs="Arial"/>
          <w:bCs/>
          <w:sz w:val="22"/>
          <w:szCs w:val="22"/>
        </w:rPr>
      </w:pPr>
      <w:r>
        <w:rPr>
          <w:rFonts w:ascii="Arial" w:hAnsi="Arial" w:cs="Arial"/>
          <w:bCs/>
          <w:sz w:val="22"/>
          <w:szCs w:val="22"/>
        </w:rPr>
        <w:t xml:space="preserve">Our examination of the Dividends Payable to NG account disclosed that P4.418 million and P2.422 million representing dividends due </w:t>
      </w:r>
      <w:r w:rsidR="008974FF">
        <w:rPr>
          <w:rFonts w:ascii="Arial" w:hAnsi="Arial" w:cs="Arial"/>
          <w:bCs/>
          <w:sz w:val="22"/>
          <w:szCs w:val="22"/>
        </w:rPr>
        <w:t>on p</w:t>
      </w:r>
      <w:r>
        <w:rPr>
          <w:rFonts w:ascii="Arial" w:hAnsi="Arial" w:cs="Arial"/>
          <w:bCs/>
          <w:sz w:val="22"/>
          <w:szCs w:val="22"/>
        </w:rPr>
        <w:t>rior years</w:t>
      </w:r>
      <w:r w:rsidR="008974FF">
        <w:rPr>
          <w:rFonts w:ascii="Arial" w:hAnsi="Arial" w:cs="Arial"/>
          <w:bCs/>
          <w:sz w:val="22"/>
          <w:szCs w:val="22"/>
        </w:rPr>
        <w:t>’</w:t>
      </w:r>
      <w:r>
        <w:rPr>
          <w:rFonts w:ascii="Arial" w:hAnsi="Arial" w:cs="Arial"/>
          <w:bCs/>
          <w:sz w:val="22"/>
          <w:szCs w:val="22"/>
        </w:rPr>
        <w:t xml:space="preserve"> and the current year</w:t>
      </w:r>
      <w:r w:rsidR="008974FF">
        <w:rPr>
          <w:rFonts w:ascii="Arial" w:hAnsi="Arial" w:cs="Arial"/>
          <w:bCs/>
          <w:sz w:val="22"/>
          <w:szCs w:val="22"/>
        </w:rPr>
        <w:t>’s earnings,</w:t>
      </w:r>
      <w:r>
        <w:rPr>
          <w:rFonts w:ascii="Arial" w:hAnsi="Arial" w:cs="Arial"/>
          <w:bCs/>
          <w:sz w:val="22"/>
          <w:szCs w:val="22"/>
        </w:rPr>
        <w:t xml:space="preserve"> respectively, have remained unremitted to date.  Details of the outstanding dividend liability totaling P6.840 million is presented below:</w:t>
      </w:r>
    </w:p>
    <w:p w:rsidR="00266FD1" w:rsidRDefault="00266FD1" w:rsidP="006E75E4">
      <w:pPr>
        <w:ind w:left="360"/>
        <w:rPr>
          <w:rFonts w:ascii="Arial" w:hAnsi="Arial" w:cs="Arial"/>
          <w:bCs/>
          <w:sz w:val="22"/>
          <w:szCs w:val="22"/>
        </w:rPr>
      </w:pPr>
    </w:p>
    <w:p w:rsidR="006E75E4" w:rsidRDefault="006E75E4" w:rsidP="006E75E4">
      <w:pPr>
        <w:ind w:left="360"/>
        <w:rPr>
          <w:rFonts w:ascii="Arial" w:hAnsi="Arial" w:cs="Arial"/>
          <w:bCs/>
          <w:sz w:val="22"/>
          <w:szCs w:val="22"/>
        </w:rPr>
      </w:pPr>
    </w:p>
    <w:tbl>
      <w:tblPr>
        <w:tblStyle w:val="TableGrid"/>
        <w:tblW w:w="6402" w:type="dxa"/>
        <w:tblInd w:w="1368" w:type="dxa"/>
        <w:tblLook w:val="04A0" w:firstRow="1" w:lastRow="0" w:firstColumn="1" w:lastColumn="0" w:noHBand="0" w:noVBand="1"/>
      </w:tblPr>
      <w:tblGrid>
        <w:gridCol w:w="1109"/>
        <w:gridCol w:w="1350"/>
        <w:gridCol w:w="1411"/>
        <w:gridCol w:w="1272"/>
        <w:gridCol w:w="1260"/>
      </w:tblGrid>
      <w:tr w:rsidR="006E75E4" w:rsidRPr="002E659B" w:rsidTr="00266FD1">
        <w:tc>
          <w:tcPr>
            <w:tcW w:w="1109" w:type="dxa"/>
            <w:vAlign w:val="center"/>
          </w:tcPr>
          <w:p w:rsidR="006E75E4" w:rsidRPr="002E659B" w:rsidRDefault="006E75E4" w:rsidP="00266FD1">
            <w:pPr>
              <w:jc w:val="center"/>
              <w:rPr>
                <w:rFonts w:ascii="Arial" w:hAnsi="Arial" w:cs="Arial"/>
                <w:bCs/>
                <w:sz w:val="22"/>
                <w:szCs w:val="22"/>
              </w:rPr>
            </w:pPr>
            <w:r w:rsidRPr="002E659B">
              <w:rPr>
                <w:rFonts w:ascii="Arial" w:hAnsi="Arial" w:cs="Arial"/>
                <w:bCs/>
                <w:sz w:val="22"/>
                <w:szCs w:val="22"/>
              </w:rPr>
              <w:t>Calendar Year</w:t>
            </w:r>
          </w:p>
        </w:tc>
        <w:tc>
          <w:tcPr>
            <w:tcW w:w="1350" w:type="dxa"/>
            <w:vAlign w:val="center"/>
          </w:tcPr>
          <w:p w:rsidR="006E75E4" w:rsidRPr="002E659B" w:rsidRDefault="006E75E4" w:rsidP="00266FD1">
            <w:pPr>
              <w:jc w:val="center"/>
              <w:rPr>
                <w:rFonts w:ascii="Arial" w:hAnsi="Arial" w:cs="Arial"/>
                <w:bCs/>
                <w:sz w:val="22"/>
                <w:szCs w:val="22"/>
              </w:rPr>
            </w:pPr>
            <w:r w:rsidRPr="002E659B">
              <w:rPr>
                <w:rFonts w:ascii="Arial" w:hAnsi="Arial" w:cs="Arial"/>
                <w:bCs/>
                <w:sz w:val="22"/>
                <w:szCs w:val="22"/>
              </w:rPr>
              <w:t>Net Income</w:t>
            </w:r>
          </w:p>
        </w:tc>
        <w:tc>
          <w:tcPr>
            <w:tcW w:w="1411" w:type="dxa"/>
          </w:tcPr>
          <w:p w:rsidR="006E75E4" w:rsidRPr="002E659B" w:rsidRDefault="006E75E4" w:rsidP="00266FD1">
            <w:pPr>
              <w:jc w:val="center"/>
              <w:rPr>
                <w:rFonts w:ascii="Arial" w:hAnsi="Arial" w:cs="Arial"/>
                <w:bCs/>
                <w:sz w:val="22"/>
                <w:szCs w:val="22"/>
              </w:rPr>
            </w:pPr>
            <w:r w:rsidRPr="002E659B">
              <w:rPr>
                <w:rFonts w:ascii="Arial" w:hAnsi="Arial" w:cs="Arial"/>
                <w:bCs/>
                <w:sz w:val="22"/>
                <w:szCs w:val="22"/>
              </w:rPr>
              <w:t>Should Be Remitted</w:t>
            </w:r>
          </w:p>
        </w:tc>
        <w:tc>
          <w:tcPr>
            <w:tcW w:w="1272" w:type="dxa"/>
            <w:vAlign w:val="center"/>
          </w:tcPr>
          <w:p w:rsidR="006E75E4" w:rsidRPr="002E659B" w:rsidRDefault="006E75E4" w:rsidP="00266FD1">
            <w:pPr>
              <w:jc w:val="center"/>
              <w:rPr>
                <w:rFonts w:ascii="Arial" w:hAnsi="Arial" w:cs="Arial"/>
                <w:bCs/>
                <w:sz w:val="22"/>
                <w:szCs w:val="22"/>
              </w:rPr>
            </w:pPr>
            <w:r w:rsidRPr="002E659B">
              <w:rPr>
                <w:rFonts w:ascii="Arial" w:hAnsi="Arial" w:cs="Arial"/>
                <w:bCs/>
                <w:sz w:val="22"/>
                <w:szCs w:val="22"/>
              </w:rPr>
              <w:t>Remitted</w:t>
            </w:r>
          </w:p>
        </w:tc>
        <w:tc>
          <w:tcPr>
            <w:tcW w:w="1260" w:type="dxa"/>
            <w:vAlign w:val="center"/>
          </w:tcPr>
          <w:p w:rsidR="006E75E4" w:rsidRPr="002E659B" w:rsidRDefault="006E75E4" w:rsidP="00266FD1">
            <w:pPr>
              <w:jc w:val="center"/>
              <w:rPr>
                <w:rFonts w:ascii="Arial" w:hAnsi="Arial" w:cs="Arial"/>
                <w:bCs/>
                <w:sz w:val="22"/>
                <w:szCs w:val="22"/>
              </w:rPr>
            </w:pPr>
            <w:r w:rsidRPr="002E659B">
              <w:rPr>
                <w:rFonts w:ascii="Arial" w:hAnsi="Arial" w:cs="Arial"/>
                <w:bCs/>
                <w:sz w:val="22"/>
                <w:szCs w:val="22"/>
              </w:rPr>
              <w:t>Balance</w:t>
            </w:r>
          </w:p>
        </w:tc>
      </w:tr>
      <w:tr w:rsidR="006E75E4" w:rsidRPr="002E659B" w:rsidTr="00266FD1">
        <w:tc>
          <w:tcPr>
            <w:tcW w:w="1109" w:type="dxa"/>
            <w:vAlign w:val="center"/>
          </w:tcPr>
          <w:p w:rsidR="006E75E4" w:rsidRPr="002E659B" w:rsidRDefault="006E75E4" w:rsidP="00266FD1">
            <w:pPr>
              <w:jc w:val="center"/>
              <w:rPr>
                <w:rFonts w:ascii="Arial" w:hAnsi="Arial" w:cs="Arial"/>
                <w:bCs/>
                <w:sz w:val="22"/>
                <w:szCs w:val="22"/>
              </w:rPr>
            </w:pPr>
            <w:r w:rsidRPr="002E659B">
              <w:rPr>
                <w:rFonts w:ascii="Arial" w:hAnsi="Arial" w:cs="Arial"/>
                <w:bCs/>
                <w:sz w:val="22"/>
                <w:szCs w:val="22"/>
              </w:rPr>
              <w:t>2011</w:t>
            </w:r>
          </w:p>
        </w:tc>
        <w:tc>
          <w:tcPr>
            <w:tcW w:w="1350" w:type="dxa"/>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4,398,623</w:t>
            </w:r>
          </w:p>
        </w:tc>
        <w:tc>
          <w:tcPr>
            <w:tcW w:w="1411" w:type="dxa"/>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2,199,312</w:t>
            </w:r>
          </w:p>
        </w:tc>
        <w:tc>
          <w:tcPr>
            <w:tcW w:w="1272" w:type="dxa"/>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2,000,000</w:t>
            </w:r>
          </w:p>
        </w:tc>
        <w:tc>
          <w:tcPr>
            <w:tcW w:w="1260" w:type="dxa"/>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199,312</w:t>
            </w:r>
          </w:p>
        </w:tc>
      </w:tr>
      <w:tr w:rsidR="006E75E4" w:rsidRPr="002E659B" w:rsidTr="00266FD1">
        <w:tc>
          <w:tcPr>
            <w:tcW w:w="1109" w:type="dxa"/>
            <w:vAlign w:val="center"/>
          </w:tcPr>
          <w:p w:rsidR="006E75E4" w:rsidRPr="002E659B" w:rsidRDefault="006E75E4" w:rsidP="00266FD1">
            <w:pPr>
              <w:jc w:val="center"/>
              <w:rPr>
                <w:rFonts w:ascii="Arial" w:hAnsi="Arial" w:cs="Arial"/>
                <w:bCs/>
                <w:sz w:val="22"/>
                <w:szCs w:val="22"/>
              </w:rPr>
            </w:pPr>
            <w:r w:rsidRPr="002E659B">
              <w:rPr>
                <w:rFonts w:ascii="Arial" w:hAnsi="Arial" w:cs="Arial"/>
                <w:bCs/>
                <w:sz w:val="22"/>
                <w:szCs w:val="22"/>
              </w:rPr>
              <w:t>2012</w:t>
            </w:r>
          </w:p>
        </w:tc>
        <w:tc>
          <w:tcPr>
            <w:tcW w:w="1350" w:type="dxa"/>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6,482,088</w:t>
            </w:r>
          </w:p>
        </w:tc>
        <w:tc>
          <w:tcPr>
            <w:tcW w:w="1411" w:type="dxa"/>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3,241,044</w:t>
            </w:r>
          </w:p>
        </w:tc>
        <w:tc>
          <w:tcPr>
            <w:tcW w:w="1272" w:type="dxa"/>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3,000,000</w:t>
            </w:r>
          </w:p>
        </w:tc>
        <w:tc>
          <w:tcPr>
            <w:tcW w:w="1260" w:type="dxa"/>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241,044</w:t>
            </w:r>
          </w:p>
        </w:tc>
      </w:tr>
      <w:tr w:rsidR="006E75E4" w:rsidRPr="002E659B" w:rsidTr="00266FD1">
        <w:tc>
          <w:tcPr>
            <w:tcW w:w="1109" w:type="dxa"/>
            <w:vAlign w:val="center"/>
          </w:tcPr>
          <w:p w:rsidR="006E75E4" w:rsidRPr="002E659B" w:rsidRDefault="006E75E4" w:rsidP="00266FD1">
            <w:pPr>
              <w:jc w:val="center"/>
              <w:rPr>
                <w:rFonts w:ascii="Arial" w:hAnsi="Arial" w:cs="Arial"/>
                <w:bCs/>
                <w:sz w:val="22"/>
                <w:szCs w:val="22"/>
              </w:rPr>
            </w:pPr>
            <w:r w:rsidRPr="002E659B">
              <w:rPr>
                <w:rFonts w:ascii="Arial" w:hAnsi="Arial" w:cs="Arial"/>
                <w:bCs/>
                <w:sz w:val="22"/>
                <w:szCs w:val="22"/>
              </w:rPr>
              <w:t>2013</w:t>
            </w:r>
          </w:p>
        </w:tc>
        <w:tc>
          <w:tcPr>
            <w:tcW w:w="1350" w:type="dxa"/>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3,971,710</w:t>
            </w:r>
          </w:p>
        </w:tc>
        <w:tc>
          <w:tcPr>
            <w:tcW w:w="1411" w:type="dxa"/>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1,985,855</w:t>
            </w:r>
          </w:p>
        </w:tc>
        <w:tc>
          <w:tcPr>
            <w:tcW w:w="1272" w:type="dxa"/>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1,985,855</w:t>
            </w:r>
          </w:p>
        </w:tc>
        <w:tc>
          <w:tcPr>
            <w:tcW w:w="1260" w:type="dxa"/>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0</w:t>
            </w:r>
          </w:p>
        </w:tc>
      </w:tr>
      <w:tr w:rsidR="006E75E4" w:rsidRPr="002E659B" w:rsidTr="00266FD1">
        <w:tc>
          <w:tcPr>
            <w:tcW w:w="1109" w:type="dxa"/>
            <w:tcBorders>
              <w:bottom w:val="single" w:sz="4" w:space="0" w:color="auto"/>
            </w:tcBorders>
            <w:vAlign w:val="center"/>
          </w:tcPr>
          <w:p w:rsidR="006E75E4" w:rsidRPr="002E659B" w:rsidRDefault="006E75E4" w:rsidP="00266FD1">
            <w:pPr>
              <w:jc w:val="center"/>
              <w:rPr>
                <w:rFonts w:ascii="Arial" w:hAnsi="Arial" w:cs="Arial"/>
                <w:bCs/>
                <w:sz w:val="22"/>
                <w:szCs w:val="22"/>
              </w:rPr>
            </w:pPr>
            <w:r w:rsidRPr="002E659B">
              <w:rPr>
                <w:rFonts w:ascii="Arial" w:hAnsi="Arial" w:cs="Arial"/>
                <w:bCs/>
                <w:sz w:val="22"/>
                <w:szCs w:val="22"/>
              </w:rPr>
              <w:lastRenderedPageBreak/>
              <w:t>2014</w:t>
            </w:r>
          </w:p>
        </w:tc>
        <w:tc>
          <w:tcPr>
            <w:tcW w:w="1350" w:type="dxa"/>
            <w:tcBorders>
              <w:bottom w:val="single" w:sz="4" w:space="0" w:color="auto"/>
            </w:tcBorders>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7,955,306</w:t>
            </w:r>
          </w:p>
        </w:tc>
        <w:tc>
          <w:tcPr>
            <w:tcW w:w="1411" w:type="dxa"/>
            <w:tcBorders>
              <w:bottom w:val="single" w:sz="4" w:space="0" w:color="auto"/>
            </w:tcBorders>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3,977,653</w:t>
            </w:r>
          </w:p>
        </w:tc>
        <w:tc>
          <w:tcPr>
            <w:tcW w:w="1272" w:type="dxa"/>
            <w:tcBorders>
              <w:bottom w:val="single" w:sz="4" w:space="0" w:color="auto"/>
            </w:tcBorders>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0</w:t>
            </w:r>
          </w:p>
        </w:tc>
        <w:tc>
          <w:tcPr>
            <w:tcW w:w="1260" w:type="dxa"/>
            <w:tcBorders>
              <w:bottom w:val="single" w:sz="4" w:space="0" w:color="auto"/>
            </w:tcBorders>
            <w:vAlign w:val="center"/>
          </w:tcPr>
          <w:p w:rsidR="006E75E4" w:rsidRPr="002E659B" w:rsidRDefault="006E75E4" w:rsidP="00266FD1">
            <w:pPr>
              <w:jc w:val="right"/>
              <w:rPr>
                <w:rFonts w:ascii="Arial" w:hAnsi="Arial" w:cs="Arial"/>
                <w:bCs/>
                <w:sz w:val="22"/>
                <w:szCs w:val="22"/>
              </w:rPr>
            </w:pPr>
            <w:r>
              <w:rPr>
                <w:rFonts w:ascii="Arial" w:hAnsi="Arial" w:cs="Arial"/>
                <w:bCs/>
                <w:sz w:val="22"/>
                <w:szCs w:val="22"/>
              </w:rPr>
              <w:t>3,</w:t>
            </w:r>
            <w:r w:rsidRPr="002E659B">
              <w:rPr>
                <w:rFonts w:ascii="Arial" w:hAnsi="Arial" w:cs="Arial"/>
                <w:bCs/>
                <w:sz w:val="22"/>
                <w:szCs w:val="22"/>
              </w:rPr>
              <w:t>977,653</w:t>
            </w:r>
          </w:p>
        </w:tc>
      </w:tr>
      <w:tr w:rsidR="006E75E4" w:rsidRPr="002E659B" w:rsidTr="00266FD1">
        <w:tc>
          <w:tcPr>
            <w:tcW w:w="1109" w:type="dxa"/>
            <w:tcBorders>
              <w:bottom w:val="double" w:sz="4" w:space="0" w:color="auto"/>
            </w:tcBorders>
            <w:vAlign w:val="center"/>
          </w:tcPr>
          <w:p w:rsidR="006E75E4" w:rsidRPr="002E659B" w:rsidRDefault="006E75E4" w:rsidP="00266FD1">
            <w:pPr>
              <w:jc w:val="center"/>
              <w:rPr>
                <w:rFonts w:ascii="Arial" w:hAnsi="Arial" w:cs="Arial"/>
                <w:bCs/>
                <w:sz w:val="22"/>
                <w:szCs w:val="22"/>
              </w:rPr>
            </w:pPr>
            <w:r w:rsidRPr="002E659B">
              <w:rPr>
                <w:rFonts w:ascii="Arial" w:hAnsi="Arial" w:cs="Arial"/>
                <w:bCs/>
                <w:sz w:val="22"/>
                <w:szCs w:val="22"/>
              </w:rPr>
              <w:t>2015</w:t>
            </w:r>
          </w:p>
        </w:tc>
        <w:tc>
          <w:tcPr>
            <w:tcW w:w="1350" w:type="dxa"/>
            <w:tcBorders>
              <w:bottom w:val="double" w:sz="4" w:space="0" w:color="auto"/>
            </w:tcBorders>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4,843,990</w:t>
            </w:r>
          </w:p>
        </w:tc>
        <w:tc>
          <w:tcPr>
            <w:tcW w:w="1411" w:type="dxa"/>
            <w:tcBorders>
              <w:bottom w:val="double" w:sz="4" w:space="0" w:color="auto"/>
            </w:tcBorders>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2,421,995</w:t>
            </w:r>
          </w:p>
        </w:tc>
        <w:tc>
          <w:tcPr>
            <w:tcW w:w="1272" w:type="dxa"/>
            <w:tcBorders>
              <w:bottom w:val="double" w:sz="4" w:space="0" w:color="auto"/>
            </w:tcBorders>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0</w:t>
            </w:r>
          </w:p>
        </w:tc>
        <w:tc>
          <w:tcPr>
            <w:tcW w:w="1260" w:type="dxa"/>
            <w:tcBorders>
              <w:bottom w:val="double" w:sz="4" w:space="0" w:color="auto"/>
            </w:tcBorders>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2,421,995</w:t>
            </w:r>
          </w:p>
        </w:tc>
      </w:tr>
      <w:tr w:rsidR="006E75E4" w:rsidRPr="002E659B" w:rsidTr="00266FD1">
        <w:trPr>
          <w:trHeight w:val="357"/>
        </w:trPr>
        <w:tc>
          <w:tcPr>
            <w:tcW w:w="1109" w:type="dxa"/>
            <w:tcBorders>
              <w:top w:val="double" w:sz="4" w:space="0" w:color="auto"/>
              <w:bottom w:val="double" w:sz="4" w:space="0" w:color="auto"/>
            </w:tcBorders>
            <w:vAlign w:val="center"/>
          </w:tcPr>
          <w:p w:rsidR="006E75E4" w:rsidRPr="002E659B" w:rsidRDefault="006E75E4" w:rsidP="00266FD1">
            <w:pPr>
              <w:jc w:val="center"/>
              <w:rPr>
                <w:rFonts w:ascii="Arial" w:hAnsi="Arial" w:cs="Arial"/>
                <w:bCs/>
                <w:sz w:val="22"/>
                <w:szCs w:val="22"/>
              </w:rPr>
            </w:pPr>
            <w:r w:rsidRPr="002E659B">
              <w:rPr>
                <w:rFonts w:ascii="Arial" w:hAnsi="Arial" w:cs="Arial"/>
                <w:bCs/>
                <w:sz w:val="22"/>
                <w:szCs w:val="22"/>
              </w:rPr>
              <w:t>Total</w:t>
            </w:r>
          </w:p>
        </w:tc>
        <w:tc>
          <w:tcPr>
            <w:tcW w:w="1350" w:type="dxa"/>
            <w:tcBorders>
              <w:top w:val="double" w:sz="4" w:space="0" w:color="auto"/>
              <w:bottom w:val="double" w:sz="4" w:space="0" w:color="auto"/>
            </w:tcBorders>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27,651,717</w:t>
            </w:r>
          </w:p>
        </w:tc>
        <w:tc>
          <w:tcPr>
            <w:tcW w:w="1411" w:type="dxa"/>
            <w:tcBorders>
              <w:top w:val="double" w:sz="4" w:space="0" w:color="auto"/>
              <w:bottom w:val="double" w:sz="4" w:space="0" w:color="auto"/>
            </w:tcBorders>
            <w:vAlign w:val="center"/>
          </w:tcPr>
          <w:p w:rsidR="006E75E4" w:rsidRPr="002E659B" w:rsidRDefault="006E75E4" w:rsidP="00266FD1">
            <w:pPr>
              <w:jc w:val="right"/>
              <w:rPr>
                <w:rFonts w:ascii="Arial" w:hAnsi="Arial" w:cs="Arial"/>
                <w:bCs/>
                <w:sz w:val="22"/>
                <w:szCs w:val="22"/>
              </w:rPr>
            </w:pPr>
            <w:r w:rsidRPr="002E659B">
              <w:rPr>
                <w:rFonts w:ascii="Arial" w:hAnsi="Arial" w:cs="Arial"/>
                <w:bCs/>
                <w:sz w:val="22"/>
                <w:szCs w:val="22"/>
              </w:rPr>
              <w:t>13,825,859</w:t>
            </w:r>
          </w:p>
        </w:tc>
        <w:tc>
          <w:tcPr>
            <w:tcW w:w="1272" w:type="dxa"/>
            <w:tcBorders>
              <w:top w:val="double" w:sz="4" w:space="0" w:color="auto"/>
              <w:bottom w:val="double" w:sz="4" w:space="0" w:color="auto"/>
            </w:tcBorders>
            <w:vAlign w:val="center"/>
          </w:tcPr>
          <w:p w:rsidR="006E75E4" w:rsidRPr="002E659B" w:rsidRDefault="006E75E4" w:rsidP="00266FD1">
            <w:pPr>
              <w:jc w:val="right"/>
              <w:rPr>
                <w:rFonts w:ascii="Arial" w:hAnsi="Arial" w:cs="Arial"/>
                <w:bCs/>
                <w:sz w:val="22"/>
                <w:szCs w:val="22"/>
              </w:rPr>
            </w:pPr>
            <w:r>
              <w:rPr>
                <w:rFonts w:ascii="Arial" w:hAnsi="Arial" w:cs="Arial"/>
                <w:bCs/>
                <w:sz w:val="22"/>
                <w:szCs w:val="22"/>
              </w:rPr>
              <w:t>6</w:t>
            </w:r>
            <w:r w:rsidRPr="002E659B">
              <w:rPr>
                <w:rFonts w:ascii="Arial" w:hAnsi="Arial" w:cs="Arial"/>
                <w:bCs/>
                <w:sz w:val="22"/>
                <w:szCs w:val="22"/>
              </w:rPr>
              <w:t>,</w:t>
            </w:r>
            <w:r>
              <w:rPr>
                <w:rFonts w:ascii="Arial" w:hAnsi="Arial" w:cs="Arial"/>
                <w:bCs/>
                <w:sz w:val="22"/>
                <w:szCs w:val="22"/>
              </w:rPr>
              <w:t>985</w:t>
            </w:r>
            <w:r w:rsidRPr="002E659B">
              <w:rPr>
                <w:rFonts w:ascii="Arial" w:hAnsi="Arial" w:cs="Arial"/>
                <w:bCs/>
                <w:sz w:val="22"/>
                <w:szCs w:val="22"/>
              </w:rPr>
              <w:t>,</w:t>
            </w:r>
            <w:r>
              <w:rPr>
                <w:rFonts w:ascii="Arial" w:hAnsi="Arial" w:cs="Arial"/>
                <w:bCs/>
                <w:sz w:val="22"/>
                <w:szCs w:val="22"/>
              </w:rPr>
              <w:t>855</w:t>
            </w:r>
          </w:p>
        </w:tc>
        <w:tc>
          <w:tcPr>
            <w:tcW w:w="1260" w:type="dxa"/>
            <w:tcBorders>
              <w:top w:val="double" w:sz="4" w:space="0" w:color="auto"/>
              <w:bottom w:val="double" w:sz="4" w:space="0" w:color="auto"/>
            </w:tcBorders>
            <w:vAlign w:val="center"/>
          </w:tcPr>
          <w:p w:rsidR="006E75E4" w:rsidRPr="002E659B" w:rsidRDefault="006E75E4" w:rsidP="00266FD1">
            <w:pPr>
              <w:jc w:val="right"/>
              <w:rPr>
                <w:rFonts w:ascii="Arial" w:hAnsi="Arial" w:cs="Arial"/>
                <w:b/>
                <w:bCs/>
                <w:sz w:val="22"/>
                <w:szCs w:val="22"/>
              </w:rPr>
            </w:pPr>
            <w:r>
              <w:rPr>
                <w:rFonts w:ascii="Arial" w:hAnsi="Arial" w:cs="Arial"/>
                <w:b/>
                <w:bCs/>
                <w:sz w:val="22"/>
                <w:szCs w:val="22"/>
              </w:rPr>
              <w:t>6</w:t>
            </w:r>
            <w:r w:rsidRPr="002E659B">
              <w:rPr>
                <w:rFonts w:ascii="Arial" w:hAnsi="Arial" w:cs="Arial"/>
                <w:b/>
                <w:bCs/>
                <w:sz w:val="22"/>
                <w:szCs w:val="22"/>
              </w:rPr>
              <w:t>,8</w:t>
            </w:r>
            <w:r>
              <w:rPr>
                <w:rFonts w:ascii="Arial" w:hAnsi="Arial" w:cs="Arial"/>
                <w:b/>
                <w:bCs/>
                <w:sz w:val="22"/>
                <w:szCs w:val="22"/>
              </w:rPr>
              <w:t>40</w:t>
            </w:r>
            <w:r w:rsidRPr="002E659B">
              <w:rPr>
                <w:rFonts w:ascii="Arial" w:hAnsi="Arial" w:cs="Arial"/>
                <w:b/>
                <w:bCs/>
                <w:sz w:val="22"/>
                <w:szCs w:val="22"/>
              </w:rPr>
              <w:t>,</w:t>
            </w:r>
            <w:r>
              <w:rPr>
                <w:rFonts w:ascii="Arial" w:hAnsi="Arial" w:cs="Arial"/>
                <w:b/>
                <w:bCs/>
                <w:sz w:val="22"/>
                <w:szCs w:val="22"/>
              </w:rPr>
              <w:t>004</w:t>
            </w:r>
          </w:p>
        </w:tc>
      </w:tr>
    </w:tbl>
    <w:p w:rsidR="006E75E4" w:rsidRDefault="006E75E4" w:rsidP="006E75E4">
      <w:pPr>
        <w:ind w:left="360"/>
        <w:rPr>
          <w:rFonts w:ascii="Arial" w:hAnsi="Arial" w:cs="Arial"/>
          <w:bCs/>
          <w:sz w:val="22"/>
          <w:szCs w:val="22"/>
        </w:rPr>
      </w:pPr>
    </w:p>
    <w:p w:rsidR="006E75E4" w:rsidRDefault="006E75E4" w:rsidP="006E75E4">
      <w:pPr>
        <w:ind w:left="720"/>
        <w:rPr>
          <w:rFonts w:ascii="Arial" w:hAnsi="Arial" w:cs="Arial"/>
          <w:bCs/>
          <w:sz w:val="22"/>
          <w:szCs w:val="22"/>
        </w:rPr>
      </w:pPr>
    </w:p>
    <w:p w:rsidR="00675C92" w:rsidRDefault="00675C92" w:rsidP="00675C92">
      <w:pPr>
        <w:ind w:left="360"/>
        <w:rPr>
          <w:rFonts w:ascii="Arial" w:hAnsi="Arial" w:cs="Arial"/>
          <w:bCs/>
          <w:sz w:val="22"/>
          <w:szCs w:val="22"/>
        </w:rPr>
      </w:pPr>
      <w:r>
        <w:rPr>
          <w:rFonts w:ascii="Arial" w:hAnsi="Arial" w:cs="Arial"/>
          <w:bCs/>
          <w:sz w:val="22"/>
          <w:szCs w:val="22"/>
        </w:rPr>
        <w:t>We recommend</w:t>
      </w:r>
      <w:r w:rsidR="00266FD1">
        <w:rPr>
          <w:rFonts w:ascii="Arial" w:hAnsi="Arial" w:cs="Arial"/>
          <w:bCs/>
          <w:sz w:val="22"/>
          <w:szCs w:val="22"/>
        </w:rPr>
        <w:t>ed</w:t>
      </w:r>
      <w:r>
        <w:rPr>
          <w:rFonts w:ascii="Arial" w:hAnsi="Arial" w:cs="Arial"/>
          <w:bCs/>
          <w:sz w:val="22"/>
          <w:szCs w:val="22"/>
        </w:rPr>
        <w:t xml:space="preserve"> that Management strictly comply with the provisions of RA 7656.</w:t>
      </w:r>
    </w:p>
    <w:p w:rsidR="00675C92" w:rsidRDefault="00675C92" w:rsidP="00675C92">
      <w:pPr>
        <w:ind w:left="360"/>
        <w:rPr>
          <w:rFonts w:ascii="Arial" w:hAnsi="Arial" w:cs="Arial"/>
          <w:bCs/>
          <w:sz w:val="22"/>
          <w:szCs w:val="22"/>
        </w:rPr>
      </w:pPr>
    </w:p>
    <w:p w:rsidR="00DF04FD" w:rsidRDefault="00675C92" w:rsidP="00DF04FD">
      <w:pPr>
        <w:ind w:left="360"/>
        <w:rPr>
          <w:rFonts w:ascii="Arial" w:hAnsi="Arial" w:cs="Arial"/>
          <w:sz w:val="22"/>
        </w:rPr>
      </w:pPr>
      <w:r>
        <w:rPr>
          <w:rFonts w:ascii="Arial" w:hAnsi="Arial" w:cs="Arial"/>
          <w:bCs/>
          <w:sz w:val="22"/>
          <w:szCs w:val="22"/>
        </w:rPr>
        <w:t xml:space="preserve">Management submitted to </w:t>
      </w:r>
      <w:r w:rsidR="00266FD1">
        <w:rPr>
          <w:rFonts w:ascii="Arial" w:hAnsi="Arial" w:cs="Arial"/>
          <w:bCs/>
          <w:sz w:val="22"/>
          <w:szCs w:val="22"/>
        </w:rPr>
        <w:t xml:space="preserve">the </w:t>
      </w:r>
      <w:r>
        <w:rPr>
          <w:rFonts w:ascii="Arial" w:hAnsi="Arial" w:cs="Arial"/>
          <w:bCs/>
          <w:sz w:val="22"/>
          <w:szCs w:val="22"/>
        </w:rPr>
        <w:t>COA</w:t>
      </w:r>
      <w:r w:rsidR="00266FD1">
        <w:rPr>
          <w:rFonts w:ascii="Arial" w:hAnsi="Arial" w:cs="Arial"/>
          <w:bCs/>
          <w:sz w:val="22"/>
          <w:szCs w:val="22"/>
        </w:rPr>
        <w:t xml:space="preserve"> audit</w:t>
      </w:r>
      <w:r>
        <w:rPr>
          <w:rFonts w:ascii="Arial" w:hAnsi="Arial" w:cs="Arial"/>
          <w:bCs/>
          <w:sz w:val="22"/>
          <w:szCs w:val="22"/>
        </w:rPr>
        <w:t xml:space="preserve"> team a copy of </w:t>
      </w:r>
      <w:r w:rsidR="00266FD1">
        <w:rPr>
          <w:rFonts w:ascii="Arial" w:hAnsi="Arial" w:cs="Arial"/>
          <w:bCs/>
          <w:sz w:val="22"/>
          <w:szCs w:val="22"/>
        </w:rPr>
        <w:t xml:space="preserve">their </w:t>
      </w:r>
      <w:r>
        <w:rPr>
          <w:rFonts w:ascii="Arial" w:hAnsi="Arial" w:cs="Arial"/>
          <w:bCs/>
          <w:sz w:val="22"/>
          <w:szCs w:val="22"/>
        </w:rPr>
        <w:t>letter dated April 5, 2016 addressed to the Secretary of Department of Finance (DOF)</w:t>
      </w:r>
      <w:r w:rsidR="00266FD1">
        <w:rPr>
          <w:rFonts w:ascii="Arial" w:hAnsi="Arial" w:cs="Arial"/>
          <w:bCs/>
          <w:sz w:val="22"/>
          <w:szCs w:val="22"/>
        </w:rPr>
        <w:t xml:space="preserve"> duly received by the DOF on</w:t>
      </w:r>
      <w:r>
        <w:rPr>
          <w:rFonts w:ascii="Arial" w:hAnsi="Arial" w:cs="Arial"/>
          <w:bCs/>
          <w:sz w:val="22"/>
          <w:szCs w:val="22"/>
        </w:rPr>
        <w:t xml:space="preserve"> April 26, 2016 request</w:t>
      </w:r>
      <w:r w:rsidR="00266FD1">
        <w:rPr>
          <w:rFonts w:ascii="Arial" w:hAnsi="Arial" w:cs="Arial"/>
          <w:bCs/>
          <w:sz w:val="22"/>
          <w:szCs w:val="22"/>
        </w:rPr>
        <w:t>ing that PADC be granted temporary</w:t>
      </w:r>
      <w:r>
        <w:rPr>
          <w:rFonts w:ascii="Arial" w:hAnsi="Arial" w:cs="Arial"/>
          <w:bCs/>
          <w:sz w:val="22"/>
          <w:szCs w:val="22"/>
        </w:rPr>
        <w:t xml:space="preserve"> relief from the provision of RA 7656 requiring GOCCs to remit at least 50 </w:t>
      </w:r>
      <w:r w:rsidR="006A2327">
        <w:rPr>
          <w:rFonts w:ascii="Arial" w:hAnsi="Arial" w:cs="Arial"/>
          <w:bCs/>
          <w:sz w:val="22"/>
          <w:szCs w:val="22"/>
        </w:rPr>
        <w:t>per</w:t>
      </w:r>
      <w:r w:rsidR="00A41364">
        <w:rPr>
          <w:rFonts w:ascii="Arial" w:hAnsi="Arial" w:cs="Arial"/>
          <w:bCs/>
          <w:sz w:val="22"/>
          <w:szCs w:val="22"/>
        </w:rPr>
        <w:t xml:space="preserve"> </w:t>
      </w:r>
      <w:r w:rsidR="006A2327">
        <w:rPr>
          <w:rFonts w:ascii="Arial" w:hAnsi="Arial" w:cs="Arial"/>
          <w:bCs/>
          <w:sz w:val="22"/>
          <w:szCs w:val="22"/>
        </w:rPr>
        <w:t xml:space="preserve">cent </w:t>
      </w:r>
      <w:r>
        <w:rPr>
          <w:rFonts w:ascii="Arial" w:hAnsi="Arial" w:cs="Arial"/>
          <w:bCs/>
          <w:sz w:val="22"/>
          <w:szCs w:val="22"/>
        </w:rPr>
        <w:t xml:space="preserve">of annual net </w:t>
      </w:r>
      <w:r w:rsidR="00266FD1">
        <w:rPr>
          <w:rFonts w:ascii="Arial" w:hAnsi="Arial" w:cs="Arial"/>
          <w:bCs/>
          <w:sz w:val="22"/>
          <w:szCs w:val="22"/>
        </w:rPr>
        <w:t xml:space="preserve">earnings </w:t>
      </w:r>
      <w:r>
        <w:rPr>
          <w:rFonts w:ascii="Arial" w:hAnsi="Arial" w:cs="Arial"/>
          <w:bCs/>
          <w:sz w:val="22"/>
          <w:szCs w:val="22"/>
        </w:rPr>
        <w:t xml:space="preserve">to the National Government. </w:t>
      </w:r>
    </w:p>
    <w:p w:rsidR="00037A4B" w:rsidRPr="00037A4B" w:rsidRDefault="00037A4B" w:rsidP="00037A4B">
      <w:pPr>
        <w:ind w:left="720"/>
        <w:rPr>
          <w:rFonts w:ascii="Arial" w:hAnsi="Arial" w:cs="Arial"/>
          <w:sz w:val="22"/>
          <w:szCs w:val="22"/>
        </w:rPr>
      </w:pPr>
    </w:p>
    <w:p w:rsidR="008A695E" w:rsidRDefault="00266FD1" w:rsidP="00200BDE">
      <w:pPr>
        <w:pStyle w:val="ListParagraph"/>
        <w:numPr>
          <w:ilvl w:val="0"/>
          <w:numId w:val="35"/>
        </w:numPr>
        <w:rPr>
          <w:rFonts w:ascii="Arial" w:hAnsi="Arial" w:cs="Arial"/>
          <w:b/>
          <w:sz w:val="22"/>
          <w:szCs w:val="22"/>
        </w:rPr>
      </w:pPr>
      <w:r>
        <w:rPr>
          <w:rFonts w:ascii="Arial" w:hAnsi="Arial" w:cs="Arial"/>
          <w:b/>
          <w:sz w:val="22"/>
          <w:szCs w:val="22"/>
        </w:rPr>
        <w:t>A</w:t>
      </w:r>
      <w:r w:rsidR="00526D22">
        <w:rPr>
          <w:rFonts w:ascii="Arial" w:hAnsi="Arial" w:cs="Arial"/>
          <w:b/>
          <w:sz w:val="22"/>
          <w:szCs w:val="22"/>
        </w:rPr>
        <w:t>ccrual</w:t>
      </w:r>
      <w:r>
        <w:rPr>
          <w:rFonts w:ascii="Arial" w:hAnsi="Arial" w:cs="Arial"/>
          <w:b/>
          <w:sz w:val="22"/>
          <w:szCs w:val="22"/>
        </w:rPr>
        <w:t xml:space="preserve"> in the books</w:t>
      </w:r>
      <w:r w:rsidR="00310817">
        <w:rPr>
          <w:rFonts w:ascii="Arial" w:hAnsi="Arial" w:cs="Arial"/>
          <w:b/>
          <w:sz w:val="22"/>
          <w:szCs w:val="22"/>
        </w:rPr>
        <w:t xml:space="preserve"> </w:t>
      </w:r>
      <w:r w:rsidR="00526D22">
        <w:rPr>
          <w:rFonts w:ascii="Arial" w:hAnsi="Arial" w:cs="Arial"/>
          <w:b/>
          <w:sz w:val="22"/>
          <w:szCs w:val="22"/>
        </w:rPr>
        <w:t xml:space="preserve"> and payment of liabilities to the Commission on Audit (COA) and </w:t>
      </w:r>
      <w:r w:rsidR="00310817">
        <w:rPr>
          <w:rFonts w:ascii="Arial" w:hAnsi="Arial" w:cs="Arial"/>
          <w:b/>
          <w:sz w:val="22"/>
          <w:szCs w:val="22"/>
        </w:rPr>
        <w:t>the Office of the Government Corporate Counsel (</w:t>
      </w:r>
      <w:r w:rsidR="00526D22">
        <w:rPr>
          <w:rFonts w:ascii="Arial" w:hAnsi="Arial" w:cs="Arial"/>
          <w:b/>
          <w:sz w:val="22"/>
          <w:szCs w:val="22"/>
        </w:rPr>
        <w:t>OGCC</w:t>
      </w:r>
      <w:r w:rsidR="00310817">
        <w:rPr>
          <w:rFonts w:ascii="Arial" w:hAnsi="Arial" w:cs="Arial"/>
          <w:b/>
          <w:sz w:val="22"/>
          <w:szCs w:val="22"/>
        </w:rPr>
        <w:t>)</w:t>
      </w:r>
      <w:r w:rsidR="00526D22">
        <w:rPr>
          <w:rFonts w:ascii="Arial" w:hAnsi="Arial" w:cs="Arial"/>
          <w:b/>
          <w:sz w:val="22"/>
          <w:szCs w:val="22"/>
        </w:rPr>
        <w:t xml:space="preserve"> representing assessments for cost of audit and legal services </w:t>
      </w:r>
      <w:r w:rsidR="005C5E94">
        <w:rPr>
          <w:rFonts w:ascii="Arial" w:hAnsi="Arial" w:cs="Arial"/>
          <w:b/>
          <w:sz w:val="22"/>
          <w:szCs w:val="22"/>
        </w:rPr>
        <w:t>of P33</w:t>
      </w:r>
      <w:r w:rsidR="00454328">
        <w:rPr>
          <w:rFonts w:ascii="Arial" w:hAnsi="Arial" w:cs="Arial"/>
          <w:b/>
          <w:sz w:val="22"/>
          <w:szCs w:val="22"/>
        </w:rPr>
        <w:t>.</w:t>
      </w:r>
      <w:r w:rsidR="005C5E94">
        <w:rPr>
          <w:rFonts w:ascii="Arial" w:hAnsi="Arial" w:cs="Arial"/>
          <w:b/>
          <w:sz w:val="22"/>
          <w:szCs w:val="22"/>
        </w:rPr>
        <w:t>344</w:t>
      </w:r>
      <w:r w:rsidR="00454328">
        <w:rPr>
          <w:rFonts w:ascii="Arial" w:hAnsi="Arial" w:cs="Arial"/>
          <w:b/>
          <w:sz w:val="22"/>
          <w:szCs w:val="22"/>
        </w:rPr>
        <w:t xml:space="preserve"> million</w:t>
      </w:r>
      <w:r w:rsidR="005C5E94">
        <w:rPr>
          <w:rFonts w:ascii="Arial" w:hAnsi="Arial" w:cs="Arial"/>
          <w:b/>
          <w:sz w:val="22"/>
          <w:szCs w:val="22"/>
        </w:rPr>
        <w:t xml:space="preserve"> and P2</w:t>
      </w:r>
      <w:r w:rsidR="00454328">
        <w:rPr>
          <w:rFonts w:ascii="Arial" w:hAnsi="Arial" w:cs="Arial"/>
          <w:b/>
          <w:sz w:val="22"/>
          <w:szCs w:val="22"/>
        </w:rPr>
        <w:t>.</w:t>
      </w:r>
      <w:r w:rsidR="005C5E94">
        <w:rPr>
          <w:rFonts w:ascii="Arial" w:hAnsi="Arial" w:cs="Arial"/>
          <w:b/>
          <w:sz w:val="22"/>
          <w:szCs w:val="22"/>
        </w:rPr>
        <w:t>38</w:t>
      </w:r>
      <w:r w:rsidR="00454328">
        <w:rPr>
          <w:rFonts w:ascii="Arial" w:hAnsi="Arial" w:cs="Arial"/>
          <w:b/>
          <w:sz w:val="22"/>
          <w:szCs w:val="22"/>
        </w:rPr>
        <w:t>4 million</w:t>
      </w:r>
      <w:r w:rsidR="005C5E94">
        <w:rPr>
          <w:rFonts w:ascii="Arial" w:hAnsi="Arial" w:cs="Arial"/>
          <w:b/>
          <w:sz w:val="22"/>
          <w:szCs w:val="22"/>
        </w:rPr>
        <w:t xml:space="preserve"> </w:t>
      </w:r>
      <w:r w:rsidR="00526D22">
        <w:rPr>
          <w:rFonts w:ascii="Arial" w:hAnsi="Arial" w:cs="Arial"/>
          <w:b/>
          <w:sz w:val="22"/>
          <w:szCs w:val="22"/>
        </w:rPr>
        <w:t>respectively, are not updated</w:t>
      </w:r>
      <w:r w:rsidR="005C5E94">
        <w:rPr>
          <w:rFonts w:ascii="Arial" w:hAnsi="Arial" w:cs="Arial"/>
          <w:b/>
          <w:sz w:val="22"/>
          <w:szCs w:val="22"/>
        </w:rPr>
        <w:t xml:space="preserve">. </w:t>
      </w:r>
    </w:p>
    <w:p w:rsidR="00310817" w:rsidRDefault="00310817" w:rsidP="00310817">
      <w:pPr>
        <w:pStyle w:val="ListParagraph"/>
        <w:ind w:left="360"/>
        <w:rPr>
          <w:rFonts w:ascii="Arial" w:hAnsi="Arial" w:cs="Arial"/>
          <w:b/>
          <w:sz w:val="22"/>
          <w:szCs w:val="22"/>
        </w:rPr>
      </w:pPr>
    </w:p>
    <w:p w:rsidR="00310817" w:rsidRDefault="00310817" w:rsidP="00310817">
      <w:pPr>
        <w:pStyle w:val="ListParagraph"/>
        <w:ind w:left="360"/>
        <w:rPr>
          <w:rFonts w:ascii="Arial" w:hAnsi="Arial" w:cs="Arial"/>
          <w:sz w:val="22"/>
          <w:szCs w:val="22"/>
        </w:rPr>
      </w:pPr>
      <w:r>
        <w:rPr>
          <w:rFonts w:ascii="Arial" w:hAnsi="Arial" w:cs="Arial"/>
          <w:sz w:val="22"/>
          <w:szCs w:val="22"/>
        </w:rPr>
        <w:t>During our audits of CYs 2013 and 2014, we reported that, out of the P11.852 million recorded COA assessments, only P2.400 million was paid, and that only P1.056 million out of P3.440 million recorded OGCC assessments has been settled. Further, it was</w:t>
      </w:r>
      <w:r w:rsidR="000E686E">
        <w:rPr>
          <w:rFonts w:ascii="Arial" w:hAnsi="Arial" w:cs="Arial"/>
          <w:sz w:val="22"/>
          <w:szCs w:val="22"/>
        </w:rPr>
        <w:t xml:space="preserve"> stressed that no accruals for COA cost of audit services were taken up in the books for the period 2007 to 2013. </w:t>
      </w:r>
    </w:p>
    <w:p w:rsidR="000E686E" w:rsidRDefault="000E686E" w:rsidP="00310817">
      <w:pPr>
        <w:pStyle w:val="ListParagraph"/>
        <w:ind w:left="360"/>
        <w:rPr>
          <w:rFonts w:ascii="Arial" w:hAnsi="Arial" w:cs="Arial"/>
          <w:sz w:val="22"/>
          <w:szCs w:val="22"/>
        </w:rPr>
      </w:pPr>
    </w:p>
    <w:p w:rsidR="000E686E" w:rsidRPr="00310817" w:rsidRDefault="000E686E" w:rsidP="00310817">
      <w:pPr>
        <w:pStyle w:val="ListParagraph"/>
        <w:ind w:left="360"/>
        <w:rPr>
          <w:rFonts w:ascii="Arial" w:hAnsi="Arial" w:cs="Arial"/>
          <w:sz w:val="22"/>
          <w:szCs w:val="22"/>
        </w:rPr>
      </w:pPr>
      <w:r>
        <w:rPr>
          <w:rFonts w:ascii="Arial" w:hAnsi="Arial" w:cs="Arial"/>
          <w:sz w:val="22"/>
          <w:szCs w:val="22"/>
        </w:rPr>
        <w:t xml:space="preserve">Balances as of December 31, 2015 remained virtually unchanged as no further accruals were taken up nor payments made to COA and the OGCC as recommended last year. However, updated information as of May 31, 2015 from COA’s Planning, Financial and Management Sector (PFMS) showed that the Corporation’s actual liability for cost of audit services amounted to P33.344 million. </w:t>
      </w:r>
    </w:p>
    <w:p w:rsidR="005C5E94" w:rsidRDefault="005C5E94" w:rsidP="005C5E94">
      <w:pPr>
        <w:rPr>
          <w:rFonts w:ascii="Arial" w:hAnsi="Arial" w:cs="Arial"/>
          <w:b/>
          <w:sz w:val="22"/>
          <w:szCs w:val="22"/>
        </w:rPr>
      </w:pPr>
    </w:p>
    <w:p w:rsidR="00EF1B0B" w:rsidRDefault="00EF1B0B" w:rsidP="00EF1B0B">
      <w:pPr>
        <w:ind w:left="360"/>
        <w:rPr>
          <w:rFonts w:ascii="Arial" w:hAnsi="Arial" w:cs="Arial"/>
          <w:bCs/>
          <w:sz w:val="22"/>
          <w:szCs w:val="22"/>
        </w:rPr>
      </w:pPr>
      <w:r>
        <w:rPr>
          <w:rFonts w:ascii="Arial" w:hAnsi="Arial" w:cs="Arial"/>
          <w:bCs/>
          <w:sz w:val="22"/>
          <w:szCs w:val="22"/>
        </w:rPr>
        <w:t>D</w:t>
      </w:r>
      <w:r w:rsidR="005C5E94">
        <w:rPr>
          <w:rFonts w:ascii="Arial" w:hAnsi="Arial" w:cs="Arial"/>
          <w:bCs/>
          <w:sz w:val="22"/>
          <w:szCs w:val="22"/>
        </w:rPr>
        <w:t xml:space="preserve">etails of the </w:t>
      </w:r>
      <w:r>
        <w:rPr>
          <w:rFonts w:ascii="Arial" w:hAnsi="Arial" w:cs="Arial"/>
          <w:bCs/>
          <w:sz w:val="22"/>
          <w:szCs w:val="22"/>
        </w:rPr>
        <w:t>liabilities to COA and OGCC are as follows:</w:t>
      </w:r>
    </w:p>
    <w:p w:rsidR="005C5E94" w:rsidRDefault="00EF1B0B" w:rsidP="005C5E94">
      <w:pPr>
        <w:ind w:left="720"/>
        <w:rPr>
          <w:rFonts w:ascii="Arial" w:hAnsi="Arial" w:cs="Arial"/>
          <w:b/>
          <w:bCs/>
          <w:sz w:val="22"/>
          <w:szCs w:val="22"/>
        </w:rPr>
      </w:pPr>
      <w:r>
        <w:rPr>
          <w:rFonts w:ascii="Arial" w:hAnsi="Arial" w:cs="Arial"/>
          <w:b/>
          <w:bCs/>
          <w:sz w:val="22"/>
          <w:szCs w:val="22"/>
        </w:rPr>
        <w:t xml:space="preserve">     </w:t>
      </w:r>
    </w:p>
    <w:p w:rsidR="00EE030E" w:rsidRPr="0096023E" w:rsidRDefault="0096023E" w:rsidP="00EE030E">
      <w:pPr>
        <w:ind w:left="450"/>
        <w:rPr>
          <w:rFonts w:ascii="Arial" w:hAnsi="Arial" w:cs="Arial"/>
          <w:b/>
          <w:sz w:val="22"/>
          <w:u w:val="single"/>
        </w:rPr>
      </w:pPr>
      <w:r>
        <w:rPr>
          <w:rFonts w:ascii="Arial" w:hAnsi="Arial" w:cs="Arial"/>
          <w:sz w:val="22"/>
        </w:rPr>
        <w:tab/>
      </w:r>
      <w:r>
        <w:rPr>
          <w:rFonts w:ascii="Arial" w:hAnsi="Arial" w:cs="Arial"/>
          <w:sz w:val="22"/>
        </w:rPr>
        <w:tab/>
      </w:r>
      <w:r w:rsidRPr="0096023E">
        <w:rPr>
          <w:rFonts w:ascii="Arial" w:hAnsi="Arial" w:cs="Arial"/>
          <w:b/>
          <w:sz w:val="22"/>
          <w:u w:val="single"/>
        </w:rPr>
        <w:t xml:space="preserve">COA </w:t>
      </w:r>
    </w:p>
    <w:p w:rsidR="00526D22" w:rsidRDefault="00526D22" w:rsidP="00526D22">
      <w:pPr>
        <w:rPr>
          <w:rFonts w:ascii="Arial" w:hAnsi="Arial" w:cs="Arial"/>
          <w:sz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00"/>
        <w:gridCol w:w="1440"/>
        <w:gridCol w:w="1800"/>
      </w:tblGrid>
      <w:tr w:rsidR="00526D22" w:rsidTr="0096023E">
        <w:tc>
          <w:tcPr>
            <w:tcW w:w="1620" w:type="dxa"/>
          </w:tcPr>
          <w:p w:rsidR="00526D22" w:rsidRPr="00F60FDD" w:rsidRDefault="00526D22" w:rsidP="009B40BD">
            <w:pPr>
              <w:rPr>
                <w:rFonts w:ascii="Arial" w:hAnsi="Arial" w:cs="Arial"/>
                <w:sz w:val="20"/>
                <w:szCs w:val="20"/>
              </w:rPr>
            </w:pPr>
          </w:p>
          <w:p w:rsidR="00526D22" w:rsidRPr="00F60FDD" w:rsidRDefault="00526D22" w:rsidP="009B40BD">
            <w:pPr>
              <w:rPr>
                <w:rFonts w:ascii="Arial" w:hAnsi="Arial" w:cs="Arial"/>
                <w:sz w:val="20"/>
                <w:szCs w:val="20"/>
              </w:rPr>
            </w:pPr>
            <w:r w:rsidRPr="00F60FDD">
              <w:rPr>
                <w:rFonts w:ascii="Arial" w:hAnsi="Arial" w:cs="Arial"/>
                <w:sz w:val="20"/>
                <w:szCs w:val="20"/>
              </w:rPr>
              <w:t>Year Assessed</w:t>
            </w:r>
          </w:p>
        </w:tc>
        <w:tc>
          <w:tcPr>
            <w:tcW w:w="1800" w:type="dxa"/>
          </w:tcPr>
          <w:p w:rsidR="00526D22" w:rsidRPr="00F60FDD" w:rsidRDefault="00526D22" w:rsidP="00F60FDD">
            <w:pPr>
              <w:jc w:val="center"/>
              <w:rPr>
                <w:rFonts w:ascii="Arial" w:hAnsi="Arial" w:cs="Arial"/>
                <w:sz w:val="20"/>
                <w:szCs w:val="20"/>
              </w:rPr>
            </w:pPr>
            <w:r w:rsidRPr="00F60FDD">
              <w:rPr>
                <w:rFonts w:ascii="Arial" w:hAnsi="Arial" w:cs="Arial"/>
                <w:sz w:val="20"/>
                <w:szCs w:val="20"/>
              </w:rPr>
              <w:t>Assessed Cost</w:t>
            </w:r>
          </w:p>
          <w:p w:rsidR="00526D22" w:rsidRPr="00F60FDD" w:rsidRDefault="00526D22" w:rsidP="00F60FDD">
            <w:pPr>
              <w:jc w:val="center"/>
              <w:rPr>
                <w:rFonts w:ascii="Arial" w:hAnsi="Arial" w:cs="Arial"/>
                <w:sz w:val="20"/>
                <w:szCs w:val="20"/>
              </w:rPr>
            </w:pPr>
            <w:r w:rsidRPr="00F60FDD">
              <w:rPr>
                <w:rFonts w:ascii="Arial" w:hAnsi="Arial" w:cs="Arial"/>
                <w:sz w:val="20"/>
                <w:szCs w:val="20"/>
              </w:rPr>
              <w:t>Of Audit</w:t>
            </w:r>
          </w:p>
        </w:tc>
        <w:tc>
          <w:tcPr>
            <w:tcW w:w="1440" w:type="dxa"/>
          </w:tcPr>
          <w:p w:rsidR="00526D22" w:rsidRPr="00F60FDD" w:rsidRDefault="00526D22" w:rsidP="009B40BD">
            <w:pPr>
              <w:rPr>
                <w:rFonts w:ascii="Arial" w:hAnsi="Arial" w:cs="Arial"/>
                <w:sz w:val="20"/>
                <w:szCs w:val="20"/>
              </w:rPr>
            </w:pPr>
          </w:p>
          <w:p w:rsidR="00526D22" w:rsidRPr="00F60FDD" w:rsidRDefault="00526D22" w:rsidP="00F60FDD">
            <w:pPr>
              <w:jc w:val="center"/>
              <w:rPr>
                <w:rFonts w:ascii="Arial" w:hAnsi="Arial" w:cs="Arial"/>
                <w:sz w:val="20"/>
                <w:szCs w:val="20"/>
              </w:rPr>
            </w:pPr>
            <w:r w:rsidRPr="00F60FDD">
              <w:rPr>
                <w:rFonts w:ascii="Arial" w:hAnsi="Arial" w:cs="Arial"/>
                <w:sz w:val="20"/>
                <w:szCs w:val="20"/>
              </w:rPr>
              <w:t>Payments</w:t>
            </w:r>
          </w:p>
        </w:tc>
        <w:tc>
          <w:tcPr>
            <w:tcW w:w="1800" w:type="dxa"/>
          </w:tcPr>
          <w:p w:rsidR="00526D22" w:rsidRPr="00F60FDD" w:rsidRDefault="00526D22" w:rsidP="009B40BD">
            <w:pPr>
              <w:rPr>
                <w:rFonts w:ascii="Arial" w:hAnsi="Arial" w:cs="Arial"/>
                <w:sz w:val="20"/>
                <w:szCs w:val="20"/>
              </w:rPr>
            </w:pPr>
          </w:p>
          <w:p w:rsidR="00526D22" w:rsidRPr="00F60FDD" w:rsidRDefault="00526D22" w:rsidP="00F60FDD">
            <w:pPr>
              <w:jc w:val="center"/>
              <w:rPr>
                <w:rFonts w:ascii="Arial" w:hAnsi="Arial" w:cs="Arial"/>
                <w:sz w:val="20"/>
                <w:szCs w:val="20"/>
              </w:rPr>
            </w:pPr>
            <w:r w:rsidRPr="00F60FDD">
              <w:rPr>
                <w:rFonts w:ascii="Arial" w:hAnsi="Arial" w:cs="Arial"/>
                <w:sz w:val="20"/>
                <w:szCs w:val="20"/>
              </w:rPr>
              <w:t>Balance</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318,313.00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318,313.00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1991</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222,816.00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222,816.00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1992</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1,135,594.00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1,135,594.00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1994</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435,311.00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435,311.00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1995</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534,519.00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534,519.00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1996</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585,885.00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585,885.00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1997</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871,741.00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300,000.00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571,741.00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1998</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907,349.00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907,349.00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1999</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1,005,580.00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1,005,580.00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1,033,363.00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1,033,363.00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2001</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1,339,699.00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1,339,699.00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2002</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1,598,518.00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1,598,518.00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2003</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1,596,126.00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1,596,126.00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2004</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1,608,262.00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1,608,262.00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2005</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1,496,663.00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1,496,663.00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lastRenderedPageBreak/>
              <w:t>2006</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1,540,248.00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800,000.00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740,248.00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2007</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1,568,303.00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1,568,303.00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2008</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1,758,610.00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1,758,610.00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2009</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1,545,466.00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1,545,466.00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2010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2,069,489.00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1,000,000.00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1,069,489.00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2011</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2,455,240.00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2,455,240.00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2012</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2,786,615.00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600,000.00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2,186,615.00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2013</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2,806,675.00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2,806,675.00</w:t>
            </w:r>
          </w:p>
        </w:tc>
      </w:tr>
      <w:tr w:rsidR="00526D22" w:rsidTr="0096023E">
        <w:tc>
          <w:tcPr>
            <w:tcW w:w="1620" w:type="dxa"/>
            <w:vAlign w:val="bottom"/>
          </w:tcPr>
          <w:p w:rsidR="00526D22" w:rsidRPr="00F60FDD" w:rsidRDefault="00526D22" w:rsidP="00F60FDD">
            <w:pPr>
              <w:jc w:val="center"/>
              <w:rPr>
                <w:rFonts w:ascii="Arial" w:hAnsi="Arial" w:cs="Arial"/>
                <w:sz w:val="20"/>
                <w:szCs w:val="20"/>
              </w:rPr>
            </w:pPr>
            <w:r w:rsidRPr="00F60FDD">
              <w:rPr>
                <w:rFonts w:ascii="Arial" w:hAnsi="Arial" w:cs="Arial"/>
                <w:sz w:val="20"/>
                <w:szCs w:val="20"/>
              </w:rPr>
              <w:t>2014</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2,814,931.00</w:t>
            </w:r>
          </w:p>
        </w:tc>
        <w:tc>
          <w:tcPr>
            <w:tcW w:w="144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0.00</w:t>
            </w:r>
          </w:p>
        </w:tc>
        <w:tc>
          <w:tcPr>
            <w:tcW w:w="1800" w:type="dxa"/>
            <w:vAlign w:val="bottom"/>
          </w:tcPr>
          <w:p w:rsidR="00526D22" w:rsidRPr="00F60FDD" w:rsidRDefault="00526D22" w:rsidP="00F60FDD">
            <w:pPr>
              <w:jc w:val="right"/>
              <w:rPr>
                <w:rFonts w:ascii="Arial" w:hAnsi="Arial" w:cs="Arial"/>
                <w:sz w:val="20"/>
                <w:szCs w:val="20"/>
              </w:rPr>
            </w:pPr>
            <w:r w:rsidRPr="00F60FDD">
              <w:rPr>
                <w:rFonts w:ascii="Arial" w:hAnsi="Arial" w:cs="Arial"/>
                <w:sz w:val="20"/>
                <w:szCs w:val="20"/>
              </w:rPr>
              <w:t>2,814,931.00</w:t>
            </w:r>
          </w:p>
        </w:tc>
      </w:tr>
      <w:tr w:rsidR="00526D22" w:rsidTr="0096023E">
        <w:tc>
          <w:tcPr>
            <w:tcW w:w="1620" w:type="dxa"/>
          </w:tcPr>
          <w:p w:rsidR="00526D22" w:rsidRPr="00F60FDD" w:rsidRDefault="005C5E94" w:rsidP="00F60FDD">
            <w:pPr>
              <w:jc w:val="center"/>
              <w:rPr>
                <w:rFonts w:ascii="Arial" w:hAnsi="Arial" w:cs="Arial"/>
                <w:sz w:val="20"/>
                <w:szCs w:val="20"/>
              </w:rPr>
            </w:pPr>
            <w:r>
              <w:rPr>
                <w:rFonts w:ascii="Arial" w:hAnsi="Arial" w:cs="Arial"/>
                <w:sz w:val="20"/>
                <w:szCs w:val="20"/>
              </w:rPr>
              <w:t>2015</w:t>
            </w:r>
          </w:p>
        </w:tc>
        <w:tc>
          <w:tcPr>
            <w:tcW w:w="1800" w:type="dxa"/>
            <w:vAlign w:val="bottom"/>
          </w:tcPr>
          <w:p w:rsidR="00526D22" w:rsidRPr="00F60FDD" w:rsidRDefault="005C5E94" w:rsidP="00F60FDD">
            <w:pPr>
              <w:jc w:val="right"/>
              <w:rPr>
                <w:rFonts w:ascii="Arial" w:hAnsi="Arial" w:cs="Arial"/>
                <w:sz w:val="20"/>
                <w:szCs w:val="20"/>
              </w:rPr>
            </w:pPr>
            <w:r>
              <w:rPr>
                <w:rFonts w:ascii="Arial" w:hAnsi="Arial" w:cs="Arial"/>
                <w:sz w:val="20"/>
                <w:szCs w:val="20"/>
              </w:rPr>
              <w:t>2,008,942.00</w:t>
            </w:r>
          </w:p>
        </w:tc>
        <w:tc>
          <w:tcPr>
            <w:tcW w:w="1440" w:type="dxa"/>
            <w:vAlign w:val="bottom"/>
          </w:tcPr>
          <w:p w:rsidR="00526D22" w:rsidRPr="00F60FDD" w:rsidRDefault="00526D22" w:rsidP="00F60FDD">
            <w:pPr>
              <w:jc w:val="right"/>
              <w:rPr>
                <w:rFonts w:ascii="Arial" w:hAnsi="Arial" w:cs="Arial"/>
                <w:sz w:val="20"/>
                <w:szCs w:val="20"/>
              </w:rPr>
            </w:pPr>
          </w:p>
        </w:tc>
        <w:tc>
          <w:tcPr>
            <w:tcW w:w="1800" w:type="dxa"/>
            <w:vAlign w:val="bottom"/>
          </w:tcPr>
          <w:p w:rsidR="00526D22" w:rsidRPr="00F60FDD" w:rsidRDefault="00800F1C" w:rsidP="00F60FDD">
            <w:pPr>
              <w:jc w:val="right"/>
              <w:rPr>
                <w:rFonts w:ascii="Arial" w:hAnsi="Arial" w:cs="Arial"/>
                <w:sz w:val="20"/>
                <w:szCs w:val="20"/>
              </w:rPr>
            </w:pPr>
            <w:r>
              <w:rPr>
                <w:rFonts w:ascii="Arial" w:hAnsi="Arial" w:cs="Arial"/>
                <w:sz w:val="20"/>
                <w:szCs w:val="20"/>
              </w:rPr>
              <w:t>2,008,942.00</w:t>
            </w:r>
          </w:p>
        </w:tc>
      </w:tr>
      <w:tr w:rsidR="00526D22" w:rsidTr="0096023E">
        <w:tc>
          <w:tcPr>
            <w:tcW w:w="1620" w:type="dxa"/>
          </w:tcPr>
          <w:p w:rsidR="00526D22" w:rsidRPr="00F60FDD" w:rsidRDefault="00526D22" w:rsidP="00F60FDD">
            <w:pPr>
              <w:jc w:val="center"/>
              <w:rPr>
                <w:rFonts w:ascii="Arial" w:hAnsi="Arial" w:cs="Arial"/>
                <w:sz w:val="20"/>
                <w:szCs w:val="20"/>
              </w:rPr>
            </w:pPr>
            <w:r w:rsidRPr="00F60FDD">
              <w:rPr>
                <w:rFonts w:ascii="Arial" w:hAnsi="Arial" w:cs="Arial"/>
                <w:sz w:val="20"/>
                <w:szCs w:val="20"/>
              </w:rPr>
              <w:t>Totals</w:t>
            </w:r>
          </w:p>
        </w:tc>
        <w:tc>
          <w:tcPr>
            <w:tcW w:w="1800" w:type="dxa"/>
            <w:vAlign w:val="bottom"/>
          </w:tcPr>
          <w:p w:rsidR="00526D22" w:rsidRPr="00F60FDD" w:rsidRDefault="00526D22" w:rsidP="005C5E94">
            <w:pPr>
              <w:jc w:val="right"/>
              <w:rPr>
                <w:rFonts w:ascii="Arial" w:hAnsi="Arial" w:cs="Arial"/>
                <w:b/>
                <w:sz w:val="20"/>
                <w:szCs w:val="20"/>
              </w:rPr>
            </w:pPr>
            <w:r w:rsidRPr="00F60FDD">
              <w:rPr>
                <w:rFonts w:ascii="Arial" w:hAnsi="Arial" w:cs="Arial"/>
                <w:b/>
                <w:sz w:val="20"/>
                <w:szCs w:val="20"/>
              </w:rPr>
              <w:t>3</w:t>
            </w:r>
            <w:r w:rsidR="005C5E94">
              <w:rPr>
                <w:rFonts w:ascii="Arial" w:hAnsi="Arial" w:cs="Arial"/>
                <w:b/>
                <w:sz w:val="20"/>
                <w:szCs w:val="20"/>
              </w:rPr>
              <w:t>6</w:t>
            </w:r>
            <w:r w:rsidRPr="00F60FDD">
              <w:rPr>
                <w:rFonts w:ascii="Arial" w:hAnsi="Arial" w:cs="Arial"/>
                <w:b/>
                <w:sz w:val="20"/>
                <w:szCs w:val="20"/>
              </w:rPr>
              <w:t>,0</w:t>
            </w:r>
            <w:r w:rsidR="005C5E94">
              <w:rPr>
                <w:rFonts w:ascii="Arial" w:hAnsi="Arial" w:cs="Arial"/>
                <w:b/>
                <w:sz w:val="20"/>
                <w:szCs w:val="20"/>
              </w:rPr>
              <w:t>44</w:t>
            </w:r>
            <w:r w:rsidRPr="00F60FDD">
              <w:rPr>
                <w:rFonts w:ascii="Arial" w:hAnsi="Arial" w:cs="Arial"/>
                <w:b/>
                <w:sz w:val="20"/>
                <w:szCs w:val="20"/>
              </w:rPr>
              <w:t>,</w:t>
            </w:r>
            <w:r w:rsidR="005C5E94">
              <w:rPr>
                <w:rFonts w:ascii="Arial" w:hAnsi="Arial" w:cs="Arial"/>
                <w:b/>
                <w:sz w:val="20"/>
                <w:szCs w:val="20"/>
              </w:rPr>
              <w:t>258</w:t>
            </w:r>
            <w:r w:rsidRPr="00F60FDD">
              <w:rPr>
                <w:rFonts w:ascii="Arial" w:hAnsi="Arial" w:cs="Arial"/>
                <w:b/>
                <w:sz w:val="20"/>
                <w:szCs w:val="20"/>
              </w:rPr>
              <w:t>.00</w:t>
            </w:r>
          </w:p>
        </w:tc>
        <w:tc>
          <w:tcPr>
            <w:tcW w:w="1440" w:type="dxa"/>
            <w:vAlign w:val="bottom"/>
          </w:tcPr>
          <w:p w:rsidR="00526D22" w:rsidRPr="00F60FDD" w:rsidRDefault="00526D22" w:rsidP="00F60FDD">
            <w:pPr>
              <w:jc w:val="right"/>
              <w:rPr>
                <w:rFonts w:ascii="Arial" w:hAnsi="Arial" w:cs="Arial"/>
                <w:b/>
                <w:sz w:val="20"/>
                <w:szCs w:val="20"/>
              </w:rPr>
            </w:pPr>
            <w:r w:rsidRPr="00F60FDD">
              <w:rPr>
                <w:rFonts w:ascii="Arial" w:hAnsi="Arial" w:cs="Arial"/>
                <w:b/>
                <w:sz w:val="20"/>
                <w:szCs w:val="20"/>
              </w:rPr>
              <w:t>2,700,000.00</w:t>
            </w:r>
          </w:p>
        </w:tc>
        <w:tc>
          <w:tcPr>
            <w:tcW w:w="1800" w:type="dxa"/>
            <w:vAlign w:val="bottom"/>
          </w:tcPr>
          <w:p w:rsidR="00526D22" w:rsidRPr="00F60FDD" w:rsidRDefault="00526D22" w:rsidP="00800F1C">
            <w:pPr>
              <w:jc w:val="right"/>
              <w:rPr>
                <w:rFonts w:ascii="Arial" w:hAnsi="Arial" w:cs="Arial"/>
                <w:b/>
                <w:sz w:val="20"/>
                <w:szCs w:val="20"/>
              </w:rPr>
            </w:pPr>
            <w:r w:rsidRPr="00F60FDD">
              <w:rPr>
                <w:rFonts w:ascii="Arial" w:hAnsi="Arial" w:cs="Arial"/>
                <w:b/>
                <w:sz w:val="20"/>
                <w:szCs w:val="20"/>
              </w:rPr>
              <w:t>3</w:t>
            </w:r>
            <w:r w:rsidR="00800F1C">
              <w:rPr>
                <w:rFonts w:ascii="Arial" w:hAnsi="Arial" w:cs="Arial"/>
                <w:b/>
                <w:sz w:val="20"/>
                <w:szCs w:val="20"/>
              </w:rPr>
              <w:t>3</w:t>
            </w:r>
            <w:r w:rsidRPr="00F60FDD">
              <w:rPr>
                <w:rFonts w:ascii="Arial" w:hAnsi="Arial" w:cs="Arial"/>
                <w:b/>
                <w:sz w:val="20"/>
                <w:szCs w:val="20"/>
              </w:rPr>
              <w:t>,3</w:t>
            </w:r>
            <w:r w:rsidR="00800F1C">
              <w:rPr>
                <w:rFonts w:ascii="Arial" w:hAnsi="Arial" w:cs="Arial"/>
                <w:b/>
                <w:sz w:val="20"/>
                <w:szCs w:val="20"/>
              </w:rPr>
              <w:t>44</w:t>
            </w:r>
            <w:r w:rsidRPr="00F60FDD">
              <w:rPr>
                <w:rFonts w:ascii="Arial" w:hAnsi="Arial" w:cs="Arial"/>
                <w:b/>
                <w:sz w:val="20"/>
                <w:szCs w:val="20"/>
              </w:rPr>
              <w:t>,</w:t>
            </w:r>
            <w:r w:rsidR="00800F1C">
              <w:rPr>
                <w:rFonts w:ascii="Arial" w:hAnsi="Arial" w:cs="Arial"/>
                <w:b/>
                <w:sz w:val="20"/>
                <w:szCs w:val="20"/>
              </w:rPr>
              <w:t>258</w:t>
            </w:r>
            <w:r w:rsidRPr="00F60FDD">
              <w:rPr>
                <w:rFonts w:ascii="Arial" w:hAnsi="Arial" w:cs="Arial"/>
                <w:b/>
                <w:sz w:val="20"/>
                <w:szCs w:val="20"/>
              </w:rPr>
              <w:t>.00</w:t>
            </w:r>
          </w:p>
        </w:tc>
      </w:tr>
    </w:tbl>
    <w:p w:rsidR="00526D22" w:rsidRDefault="00526D22" w:rsidP="00526D22">
      <w:pPr>
        <w:rPr>
          <w:rFonts w:ascii="Arial" w:hAnsi="Arial" w:cs="Arial"/>
          <w:sz w:val="22"/>
        </w:rPr>
      </w:pPr>
    </w:p>
    <w:p w:rsidR="00D67578" w:rsidRDefault="00D67578" w:rsidP="00D67578">
      <w:pPr>
        <w:ind w:left="1350" w:hanging="90"/>
        <w:rPr>
          <w:rFonts w:ascii="Arial" w:hAnsi="Arial" w:cs="Arial"/>
          <w:b/>
          <w:bCs/>
          <w:sz w:val="22"/>
          <w:szCs w:val="22"/>
        </w:rPr>
      </w:pPr>
    </w:p>
    <w:p w:rsidR="00D67578" w:rsidRPr="0096023E" w:rsidRDefault="00D67578" w:rsidP="00D67578">
      <w:pPr>
        <w:ind w:left="1350" w:hanging="90"/>
        <w:rPr>
          <w:rFonts w:ascii="Arial" w:hAnsi="Arial" w:cs="Arial"/>
          <w:b/>
          <w:bCs/>
          <w:sz w:val="22"/>
          <w:szCs w:val="22"/>
          <w:u w:val="single"/>
        </w:rPr>
      </w:pPr>
      <w:r w:rsidRPr="00D67578">
        <w:rPr>
          <w:rFonts w:ascii="Arial" w:hAnsi="Arial" w:cs="Arial"/>
          <w:b/>
          <w:bCs/>
          <w:sz w:val="22"/>
          <w:szCs w:val="22"/>
        </w:rPr>
        <w:t xml:space="preserve"> </w:t>
      </w:r>
      <w:r w:rsidRPr="0096023E">
        <w:rPr>
          <w:rFonts w:ascii="Arial" w:hAnsi="Arial" w:cs="Arial"/>
          <w:b/>
          <w:bCs/>
          <w:sz w:val="22"/>
          <w:szCs w:val="22"/>
          <w:u w:val="single"/>
        </w:rPr>
        <w:t>OGCC</w:t>
      </w:r>
    </w:p>
    <w:p w:rsidR="00D67578" w:rsidRDefault="00D67578" w:rsidP="00526D22">
      <w:pPr>
        <w:rPr>
          <w:rFonts w:ascii="Arial" w:hAnsi="Arial" w:cs="Arial"/>
          <w:sz w:val="22"/>
        </w:rPr>
      </w:pPr>
    </w:p>
    <w:tbl>
      <w:tblPr>
        <w:tblStyle w:val="TableGrid"/>
        <w:tblW w:w="0" w:type="auto"/>
        <w:tblInd w:w="1458" w:type="dxa"/>
        <w:tblLook w:val="04A0" w:firstRow="1" w:lastRow="0" w:firstColumn="1" w:lastColumn="0" w:noHBand="0" w:noVBand="1"/>
      </w:tblPr>
      <w:tblGrid>
        <w:gridCol w:w="3150"/>
        <w:gridCol w:w="1890"/>
      </w:tblGrid>
      <w:tr w:rsidR="00D67578" w:rsidRPr="00B47E3D" w:rsidTr="00F508B3">
        <w:tc>
          <w:tcPr>
            <w:tcW w:w="3150" w:type="dxa"/>
          </w:tcPr>
          <w:p w:rsidR="00D67578" w:rsidRPr="00B47E3D" w:rsidRDefault="00D67578" w:rsidP="00F508B3">
            <w:pPr>
              <w:ind w:left="-60" w:firstLine="60"/>
              <w:rPr>
                <w:rFonts w:ascii="Arial" w:hAnsi="Arial" w:cs="Arial"/>
                <w:bCs/>
                <w:sz w:val="20"/>
                <w:szCs w:val="20"/>
              </w:rPr>
            </w:pPr>
            <w:r w:rsidRPr="00B47E3D">
              <w:rPr>
                <w:rFonts w:ascii="Arial" w:hAnsi="Arial" w:cs="Arial"/>
                <w:bCs/>
                <w:sz w:val="20"/>
                <w:szCs w:val="20"/>
              </w:rPr>
              <w:t>Beg. Balance, Jan.1 2004</w:t>
            </w:r>
          </w:p>
        </w:tc>
        <w:tc>
          <w:tcPr>
            <w:tcW w:w="1890" w:type="dxa"/>
            <w:vAlign w:val="center"/>
          </w:tcPr>
          <w:p w:rsidR="00D67578" w:rsidRPr="00B47E3D" w:rsidRDefault="00D67578" w:rsidP="00F508B3">
            <w:pPr>
              <w:jc w:val="right"/>
              <w:rPr>
                <w:rFonts w:ascii="Arial" w:hAnsi="Arial" w:cs="Arial"/>
                <w:bCs/>
                <w:sz w:val="20"/>
                <w:szCs w:val="20"/>
              </w:rPr>
            </w:pPr>
            <w:r w:rsidRPr="00B47E3D">
              <w:rPr>
                <w:rFonts w:ascii="Arial" w:hAnsi="Arial" w:cs="Arial"/>
                <w:bCs/>
                <w:sz w:val="20"/>
                <w:szCs w:val="20"/>
              </w:rPr>
              <w:t>2,525,000</w:t>
            </w:r>
          </w:p>
        </w:tc>
      </w:tr>
      <w:tr w:rsidR="00D67578" w:rsidRPr="00B47E3D" w:rsidTr="00F508B3">
        <w:tc>
          <w:tcPr>
            <w:tcW w:w="3150" w:type="dxa"/>
          </w:tcPr>
          <w:p w:rsidR="00D67578" w:rsidRPr="00B47E3D" w:rsidRDefault="00D67578" w:rsidP="00F508B3">
            <w:pPr>
              <w:rPr>
                <w:rFonts w:ascii="Arial" w:hAnsi="Arial" w:cs="Arial"/>
                <w:bCs/>
                <w:sz w:val="20"/>
                <w:szCs w:val="20"/>
              </w:rPr>
            </w:pPr>
            <w:r w:rsidRPr="00B47E3D">
              <w:rPr>
                <w:rFonts w:ascii="Arial" w:hAnsi="Arial" w:cs="Arial"/>
                <w:bCs/>
                <w:sz w:val="20"/>
                <w:szCs w:val="20"/>
              </w:rPr>
              <w:t>Accruals (2005-2007)</w:t>
            </w:r>
          </w:p>
        </w:tc>
        <w:tc>
          <w:tcPr>
            <w:tcW w:w="1890" w:type="dxa"/>
            <w:vAlign w:val="center"/>
          </w:tcPr>
          <w:p w:rsidR="00D67578" w:rsidRPr="00B47E3D" w:rsidRDefault="00D67578" w:rsidP="00F508B3">
            <w:pPr>
              <w:jc w:val="right"/>
              <w:rPr>
                <w:rFonts w:ascii="Arial" w:hAnsi="Arial" w:cs="Arial"/>
                <w:bCs/>
                <w:sz w:val="20"/>
                <w:szCs w:val="20"/>
              </w:rPr>
            </w:pPr>
            <w:r w:rsidRPr="00B47E3D">
              <w:rPr>
                <w:rFonts w:ascii="Arial" w:hAnsi="Arial" w:cs="Arial"/>
                <w:bCs/>
                <w:sz w:val="20"/>
                <w:szCs w:val="20"/>
              </w:rPr>
              <w:t>625,000</w:t>
            </w:r>
          </w:p>
        </w:tc>
      </w:tr>
      <w:tr w:rsidR="00D67578" w:rsidRPr="00B47E3D" w:rsidTr="00F508B3">
        <w:tc>
          <w:tcPr>
            <w:tcW w:w="3150" w:type="dxa"/>
            <w:tcBorders>
              <w:bottom w:val="single" w:sz="4" w:space="0" w:color="auto"/>
            </w:tcBorders>
          </w:tcPr>
          <w:p w:rsidR="00D67578" w:rsidRPr="00B47E3D" w:rsidRDefault="00D67578" w:rsidP="00F508B3">
            <w:pPr>
              <w:rPr>
                <w:rFonts w:ascii="Arial" w:hAnsi="Arial" w:cs="Arial"/>
                <w:bCs/>
                <w:sz w:val="20"/>
                <w:szCs w:val="20"/>
              </w:rPr>
            </w:pPr>
            <w:r w:rsidRPr="00B47E3D">
              <w:rPr>
                <w:rFonts w:ascii="Arial" w:hAnsi="Arial" w:cs="Arial"/>
                <w:bCs/>
                <w:sz w:val="20"/>
                <w:szCs w:val="20"/>
              </w:rPr>
              <w:t>Accruals (2007-2013)</w:t>
            </w:r>
          </w:p>
        </w:tc>
        <w:tc>
          <w:tcPr>
            <w:tcW w:w="1890" w:type="dxa"/>
            <w:tcBorders>
              <w:bottom w:val="single" w:sz="4" w:space="0" w:color="auto"/>
            </w:tcBorders>
            <w:vAlign w:val="center"/>
          </w:tcPr>
          <w:p w:rsidR="00D67578" w:rsidRPr="00B47E3D" w:rsidRDefault="00D67578" w:rsidP="00F508B3">
            <w:pPr>
              <w:jc w:val="right"/>
              <w:rPr>
                <w:rFonts w:ascii="Arial" w:hAnsi="Arial" w:cs="Arial"/>
                <w:bCs/>
                <w:sz w:val="20"/>
                <w:szCs w:val="20"/>
              </w:rPr>
            </w:pPr>
            <w:r w:rsidRPr="00B47E3D">
              <w:rPr>
                <w:rFonts w:ascii="Arial" w:hAnsi="Arial" w:cs="Arial"/>
                <w:bCs/>
                <w:sz w:val="20"/>
                <w:szCs w:val="20"/>
              </w:rPr>
              <w:t>290,000</w:t>
            </w:r>
          </w:p>
        </w:tc>
      </w:tr>
      <w:tr w:rsidR="00D67578" w:rsidRPr="00B47E3D" w:rsidTr="00F508B3">
        <w:tc>
          <w:tcPr>
            <w:tcW w:w="3150" w:type="dxa"/>
            <w:tcBorders>
              <w:bottom w:val="double" w:sz="4" w:space="0" w:color="auto"/>
            </w:tcBorders>
          </w:tcPr>
          <w:p w:rsidR="00D67578" w:rsidRPr="00B47E3D" w:rsidRDefault="00D67578" w:rsidP="00F508B3">
            <w:pPr>
              <w:rPr>
                <w:rFonts w:ascii="Arial" w:hAnsi="Arial" w:cs="Arial"/>
                <w:bCs/>
                <w:sz w:val="20"/>
                <w:szCs w:val="20"/>
              </w:rPr>
            </w:pPr>
            <w:r w:rsidRPr="00B47E3D">
              <w:rPr>
                <w:rFonts w:ascii="Arial" w:hAnsi="Arial" w:cs="Arial"/>
                <w:bCs/>
                <w:sz w:val="20"/>
                <w:szCs w:val="20"/>
              </w:rPr>
              <w:t>Payments(2006-2013)</w:t>
            </w:r>
          </w:p>
        </w:tc>
        <w:tc>
          <w:tcPr>
            <w:tcW w:w="1890" w:type="dxa"/>
            <w:tcBorders>
              <w:bottom w:val="double" w:sz="4" w:space="0" w:color="auto"/>
            </w:tcBorders>
            <w:vAlign w:val="center"/>
          </w:tcPr>
          <w:p w:rsidR="00D67578" w:rsidRPr="00B47E3D" w:rsidRDefault="00D67578" w:rsidP="00F508B3">
            <w:pPr>
              <w:jc w:val="right"/>
              <w:rPr>
                <w:rFonts w:ascii="Arial" w:hAnsi="Arial" w:cs="Arial"/>
                <w:bCs/>
                <w:sz w:val="20"/>
                <w:szCs w:val="20"/>
              </w:rPr>
            </w:pPr>
            <w:r w:rsidRPr="00B47E3D">
              <w:rPr>
                <w:rFonts w:ascii="Arial" w:hAnsi="Arial" w:cs="Arial"/>
                <w:bCs/>
                <w:sz w:val="20"/>
                <w:szCs w:val="20"/>
              </w:rPr>
              <w:t>(1,056,500)</w:t>
            </w:r>
          </w:p>
        </w:tc>
      </w:tr>
      <w:tr w:rsidR="00D67578" w:rsidRPr="00B47E3D" w:rsidTr="00F508B3">
        <w:trPr>
          <w:trHeight w:val="357"/>
        </w:trPr>
        <w:tc>
          <w:tcPr>
            <w:tcW w:w="3150" w:type="dxa"/>
            <w:tcBorders>
              <w:top w:val="double" w:sz="4" w:space="0" w:color="auto"/>
              <w:bottom w:val="double" w:sz="4" w:space="0" w:color="auto"/>
            </w:tcBorders>
            <w:vAlign w:val="center"/>
          </w:tcPr>
          <w:p w:rsidR="00D67578" w:rsidRPr="00B47E3D" w:rsidRDefault="00D67578" w:rsidP="00F508B3">
            <w:pPr>
              <w:jc w:val="left"/>
              <w:rPr>
                <w:rFonts w:ascii="Arial" w:hAnsi="Arial" w:cs="Arial"/>
                <w:bCs/>
                <w:sz w:val="20"/>
                <w:szCs w:val="20"/>
              </w:rPr>
            </w:pPr>
            <w:r w:rsidRPr="00B47E3D">
              <w:rPr>
                <w:rFonts w:ascii="Arial" w:hAnsi="Arial" w:cs="Arial"/>
                <w:bCs/>
                <w:sz w:val="20"/>
                <w:szCs w:val="20"/>
              </w:rPr>
              <w:t>Ending Balance, 12/31/2013</w:t>
            </w:r>
          </w:p>
        </w:tc>
        <w:tc>
          <w:tcPr>
            <w:tcW w:w="1890" w:type="dxa"/>
            <w:tcBorders>
              <w:top w:val="double" w:sz="4" w:space="0" w:color="auto"/>
              <w:bottom w:val="double" w:sz="4" w:space="0" w:color="auto"/>
            </w:tcBorders>
            <w:vAlign w:val="center"/>
          </w:tcPr>
          <w:p w:rsidR="00D67578" w:rsidRPr="00B47E3D" w:rsidRDefault="00D67578" w:rsidP="00F508B3">
            <w:pPr>
              <w:jc w:val="right"/>
              <w:rPr>
                <w:rFonts w:ascii="Arial" w:hAnsi="Arial" w:cs="Arial"/>
                <w:b/>
                <w:bCs/>
                <w:sz w:val="20"/>
                <w:szCs w:val="20"/>
              </w:rPr>
            </w:pPr>
            <w:r w:rsidRPr="00B47E3D">
              <w:rPr>
                <w:rFonts w:ascii="Arial" w:hAnsi="Arial" w:cs="Arial"/>
                <w:b/>
                <w:bCs/>
                <w:sz w:val="20"/>
                <w:szCs w:val="20"/>
              </w:rPr>
              <w:t>2,383,500</w:t>
            </w:r>
          </w:p>
        </w:tc>
      </w:tr>
    </w:tbl>
    <w:p w:rsidR="00526D22" w:rsidRDefault="00526D22" w:rsidP="002D077C">
      <w:pPr>
        <w:rPr>
          <w:rFonts w:ascii="Arial" w:hAnsi="Arial" w:cs="Arial"/>
          <w:sz w:val="22"/>
          <w:szCs w:val="22"/>
        </w:rPr>
      </w:pPr>
    </w:p>
    <w:p w:rsidR="00526D22" w:rsidRDefault="00526D22" w:rsidP="00A40982">
      <w:pPr>
        <w:ind w:left="360"/>
        <w:rPr>
          <w:rFonts w:ascii="Arial" w:hAnsi="Arial" w:cs="Arial"/>
          <w:sz w:val="22"/>
        </w:rPr>
      </w:pPr>
      <w:r>
        <w:rPr>
          <w:rFonts w:ascii="Arial" w:hAnsi="Arial" w:cs="Arial"/>
          <w:sz w:val="22"/>
        </w:rPr>
        <w:t>We recommend</w:t>
      </w:r>
      <w:r w:rsidR="000F5D53">
        <w:rPr>
          <w:rFonts w:ascii="Arial" w:hAnsi="Arial" w:cs="Arial"/>
          <w:sz w:val="22"/>
        </w:rPr>
        <w:t>ed</w:t>
      </w:r>
      <w:r>
        <w:rPr>
          <w:rFonts w:ascii="Arial" w:hAnsi="Arial" w:cs="Arial"/>
          <w:sz w:val="22"/>
        </w:rPr>
        <w:t xml:space="preserve"> th</w:t>
      </w:r>
      <w:r w:rsidR="004D2A39">
        <w:rPr>
          <w:rFonts w:ascii="Arial" w:hAnsi="Arial" w:cs="Arial"/>
          <w:sz w:val="22"/>
        </w:rPr>
        <w:t>at</w:t>
      </w:r>
      <w:r>
        <w:rPr>
          <w:rFonts w:ascii="Arial" w:hAnsi="Arial" w:cs="Arial"/>
          <w:sz w:val="22"/>
        </w:rPr>
        <w:t xml:space="preserve"> </w:t>
      </w:r>
      <w:r w:rsidR="004D2A39">
        <w:rPr>
          <w:rFonts w:ascii="Arial" w:hAnsi="Arial" w:cs="Arial"/>
          <w:sz w:val="22"/>
        </w:rPr>
        <w:t>Management</w:t>
      </w:r>
      <w:r>
        <w:rPr>
          <w:rFonts w:ascii="Arial" w:hAnsi="Arial" w:cs="Arial"/>
          <w:sz w:val="22"/>
        </w:rPr>
        <w:t>:</w:t>
      </w:r>
    </w:p>
    <w:p w:rsidR="00526D22" w:rsidRDefault="00526D22" w:rsidP="00526D22">
      <w:pPr>
        <w:rPr>
          <w:rFonts w:ascii="Arial" w:hAnsi="Arial" w:cs="Arial"/>
          <w:sz w:val="22"/>
        </w:rPr>
      </w:pPr>
    </w:p>
    <w:p w:rsidR="00526D22" w:rsidRDefault="00526D22" w:rsidP="00A40982">
      <w:pPr>
        <w:pStyle w:val="ListParagraph"/>
        <w:numPr>
          <w:ilvl w:val="0"/>
          <w:numId w:val="32"/>
        </w:numPr>
        <w:rPr>
          <w:rFonts w:ascii="Arial" w:hAnsi="Arial" w:cs="Arial"/>
          <w:sz w:val="22"/>
        </w:rPr>
      </w:pPr>
      <w:r>
        <w:rPr>
          <w:rFonts w:ascii="Arial" w:hAnsi="Arial" w:cs="Arial"/>
          <w:sz w:val="22"/>
        </w:rPr>
        <w:t>Validate the</w:t>
      </w:r>
      <w:r w:rsidR="0096023E">
        <w:rPr>
          <w:rFonts w:ascii="Arial" w:hAnsi="Arial" w:cs="Arial"/>
          <w:sz w:val="22"/>
        </w:rPr>
        <w:t xml:space="preserve"> COA</w:t>
      </w:r>
      <w:r>
        <w:rPr>
          <w:rFonts w:ascii="Arial" w:hAnsi="Arial" w:cs="Arial"/>
          <w:sz w:val="22"/>
        </w:rPr>
        <w:t xml:space="preserve"> PFMS cost of audit summary to determine if there are any unrecorded payments made by PADC or any other inconsistencies therein so that the amounts can be reconciled;</w:t>
      </w:r>
    </w:p>
    <w:p w:rsidR="00526D22" w:rsidRPr="00721762" w:rsidRDefault="00526D22" w:rsidP="00A40982">
      <w:pPr>
        <w:ind w:left="720"/>
        <w:rPr>
          <w:rFonts w:ascii="Arial" w:hAnsi="Arial" w:cs="Arial"/>
          <w:sz w:val="22"/>
        </w:rPr>
      </w:pPr>
    </w:p>
    <w:p w:rsidR="00526D22" w:rsidRDefault="00E14469" w:rsidP="00A40982">
      <w:pPr>
        <w:pStyle w:val="ListParagraph"/>
        <w:numPr>
          <w:ilvl w:val="0"/>
          <w:numId w:val="32"/>
        </w:numPr>
        <w:rPr>
          <w:rFonts w:ascii="Arial" w:hAnsi="Arial" w:cs="Arial"/>
          <w:sz w:val="22"/>
        </w:rPr>
      </w:pPr>
      <w:r w:rsidRPr="00E14469">
        <w:rPr>
          <w:rFonts w:ascii="Arial" w:hAnsi="Arial" w:cs="Arial"/>
          <w:sz w:val="22"/>
        </w:rPr>
        <w:t>R</w:t>
      </w:r>
      <w:r w:rsidR="00526D22" w:rsidRPr="00E14469">
        <w:rPr>
          <w:rFonts w:ascii="Arial" w:hAnsi="Arial" w:cs="Arial"/>
          <w:sz w:val="22"/>
        </w:rPr>
        <w:t>ecogniz</w:t>
      </w:r>
      <w:r w:rsidRPr="00E14469">
        <w:rPr>
          <w:rFonts w:ascii="Arial" w:hAnsi="Arial" w:cs="Arial"/>
          <w:sz w:val="22"/>
        </w:rPr>
        <w:t>e in the books of accounts</w:t>
      </w:r>
      <w:r w:rsidR="00526D22" w:rsidRPr="00E14469">
        <w:rPr>
          <w:rFonts w:ascii="Arial" w:hAnsi="Arial" w:cs="Arial"/>
          <w:sz w:val="22"/>
        </w:rPr>
        <w:t xml:space="preserve"> the </w:t>
      </w:r>
      <w:r w:rsidRPr="00E14469">
        <w:rPr>
          <w:rFonts w:ascii="Arial" w:hAnsi="Arial" w:cs="Arial"/>
          <w:sz w:val="22"/>
        </w:rPr>
        <w:t>accrued cost of audit and legal services, and</w:t>
      </w:r>
      <w:r w:rsidR="00526D22" w:rsidRPr="00E14469">
        <w:rPr>
          <w:rFonts w:ascii="Arial" w:hAnsi="Arial" w:cs="Arial"/>
          <w:sz w:val="22"/>
        </w:rPr>
        <w:t xml:space="preserve"> </w:t>
      </w:r>
    </w:p>
    <w:p w:rsidR="00E14469" w:rsidRPr="00E14469" w:rsidRDefault="00E14469" w:rsidP="00E14469">
      <w:pPr>
        <w:pStyle w:val="ListParagraph"/>
        <w:rPr>
          <w:rFonts w:ascii="Arial" w:hAnsi="Arial" w:cs="Arial"/>
          <w:sz w:val="22"/>
        </w:rPr>
      </w:pPr>
    </w:p>
    <w:p w:rsidR="00526D22" w:rsidRPr="00CE51AD" w:rsidRDefault="00526D22" w:rsidP="00A40982">
      <w:pPr>
        <w:pStyle w:val="ListParagraph"/>
        <w:numPr>
          <w:ilvl w:val="0"/>
          <w:numId w:val="32"/>
        </w:numPr>
        <w:rPr>
          <w:rFonts w:ascii="Arial" w:hAnsi="Arial" w:cs="Arial"/>
          <w:sz w:val="22"/>
        </w:rPr>
      </w:pPr>
      <w:r>
        <w:rPr>
          <w:rFonts w:ascii="Arial" w:hAnsi="Arial" w:cs="Arial"/>
          <w:sz w:val="22"/>
        </w:rPr>
        <w:t>Make periodic payments to the COA and OGCC.</w:t>
      </w:r>
    </w:p>
    <w:p w:rsidR="008A695E" w:rsidRDefault="008A695E" w:rsidP="00526D22">
      <w:pPr>
        <w:ind w:left="720" w:hanging="360"/>
        <w:rPr>
          <w:rFonts w:ascii="Arial" w:hAnsi="Arial" w:cs="Arial"/>
          <w:sz w:val="22"/>
          <w:szCs w:val="22"/>
        </w:rPr>
      </w:pPr>
    </w:p>
    <w:p w:rsidR="00526D22" w:rsidRDefault="00ED5427" w:rsidP="006A7D6E">
      <w:pPr>
        <w:ind w:left="360" w:right="-18"/>
        <w:rPr>
          <w:rFonts w:ascii="Arial" w:hAnsi="Arial" w:cs="Arial"/>
          <w:b/>
          <w:sz w:val="22"/>
          <w:szCs w:val="22"/>
        </w:rPr>
      </w:pPr>
      <w:r w:rsidRPr="002D50FE">
        <w:rPr>
          <w:rFonts w:ascii="Arial" w:hAnsi="Arial" w:cs="Arial"/>
          <w:sz w:val="22"/>
          <w:szCs w:val="22"/>
        </w:rPr>
        <w:t xml:space="preserve">Management </w:t>
      </w:r>
      <w:r>
        <w:rPr>
          <w:rFonts w:ascii="Arial" w:hAnsi="Arial" w:cs="Arial"/>
          <w:sz w:val="22"/>
          <w:szCs w:val="22"/>
        </w:rPr>
        <w:t>replied</w:t>
      </w:r>
      <w:r w:rsidR="005B7932">
        <w:rPr>
          <w:rFonts w:ascii="Arial" w:hAnsi="Arial" w:cs="Arial"/>
          <w:sz w:val="22"/>
          <w:szCs w:val="22"/>
        </w:rPr>
        <w:t xml:space="preserve"> that</w:t>
      </w:r>
      <w:r w:rsidR="008B6769">
        <w:rPr>
          <w:rFonts w:ascii="Arial" w:hAnsi="Arial" w:cs="Arial"/>
          <w:sz w:val="22"/>
          <w:szCs w:val="22"/>
        </w:rPr>
        <w:t xml:space="preserve"> </w:t>
      </w:r>
      <w:r w:rsidR="000F5D53">
        <w:rPr>
          <w:rFonts w:ascii="Arial" w:hAnsi="Arial" w:cs="Arial"/>
          <w:sz w:val="22"/>
          <w:szCs w:val="22"/>
        </w:rPr>
        <w:t xml:space="preserve">they </w:t>
      </w:r>
      <w:r w:rsidR="00244D74">
        <w:rPr>
          <w:rFonts w:ascii="Arial" w:hAnsi="Arial" w:cs="Arial"/>
          <w:sz w:val="22"/>
          <w:szCs w:val="22"/>
        </w:rPr>
        <w:t xml:space="preserve">acknowledge </w:t>
      </w:r>
      <w:r w:rsidR="00E14469">
        <w:rPr>
          <w:rFonts w:ascii="Arial" w:hAnsi="Arial" w:cs="Arial"/>
          <w:sz w:val="22"/>
          <w:szCs w:val="22"/>
        </w:rPr>
        <w:t>PADC’s</w:t>
      </w:r>
      <w:r w:rsidR="000F5D53">
        <w:rPr>
          <w:rFonts w:ascii="Arial" w:hAnsi="Arial" w:cs="Arial"/>
          <w:sz w:val="22"/>
          <w:szCs w:val="22"/>
        </w:rPr>
        <w:t xml:space="preserve"> </w:t>
      </w:r>
      <w:r w:rsidR="008B6769">
        <w:rPr>
          <w:rFonts w:ascii="Arial" w:hAnsi="Arial" w:cs="Arial"/>
          <w:sz w:val="22"/>
          <w:szCs w:val="22"/>
        </w:rPr>
        <w:t xml:space="preserve">liabilities </w:t>
      </w:r>
      <w:r w:rsidR="000F5D53">
        <w:rPr>
          <w:rFonts w:ascii="Arial" w:hAnsi="Arial" w:cs="Arial"/>
          <w:sz w:val="22"/>
          <w:szCs w:val="22"/>
        </w:rPr>
        <w:t xml:space="preserve">to the COA and OGCC </w:t>
      </w:r>
      <w:r w:rsidR="008B6769">
        <w:rPr>
          <w:rFonts w:ascii="Arial" w:hAnsi="Arial" w:cs="Arial"/>
          <w:sz w:val="22"/>
          <w:szCs w:val="22"/>
        </w:rPr>
        <w:t xml:space="preserve">and </w:t>
      </w:r>
      <w:r>
        <w:rPr>
          <w:rFonts w:ascii="Arial" w:hAnsi="Arial" w:cs="Arial"/>
          <w:sz w:val="22"/>
          <w:szCs w:val="22"/>
        </w:rPr>
        <w:t xml:space="preserve">will </w:t>
      </w:r>
      <w:r w:rsidR="00EE030E">
        <w:rPr>
          <w:rFonts w:ascii="Arial" w:hAnsi="Arial" w:cs="Arial"/>
          <w:sz w:val="22"/>
          <w:szCs w:val="22"/>
        </w:rPr>
        <w:t xml:space="preserve">remit P2 million upon approval of </w:t>
      </w:r>
      <w:r w:rsidR="00E14469">
        <w:rPr>
          <w:rFonts w:ascii="Arial" w:hAnsi="Arial" w:cs="Arial"/>
          <w:sz w:val="22"/>
          <w:szCs w:val="22"/>
        </w:rPr>
        <w:t>the PADC</w:t>
      </w:r>
      <w:r w:rsidR="00EE030E">
        <w:rPr>
          <w:rFonts w:ascii="Arial" w:hAnsi="Arial" w:cs="Arial"/>
          <w:sz w:val="22"/>
          <w:szCs w:val="22"/>
        </w:rPr>
        <w:t xml:space="preserve"> COB</w:t>
      </w:r>
      <w:r w:rsidR="007014C3">
        <w:rPr>
          <w:rFonts w:ascii="Arial" w:hAnsi="Arial" w:cs="Arial"/>
          <w:sz w:val="22"/>
          <w:szCs w:val="22"/>
        </w:rPr>
        <w:t xml:space="preserve">. </w:t>
      </w:r>
    </w:p>
    <w:p w:rsidR="009B40BD" w:rsidRDefault="009B40BD" w:rsidP="00E41B48">
      <w:pPr>
        <w:pStyle w:val="NoSpacing"/>
        <w:tabs>
          <w:tab w:val="left" w:pos="360"/>
        </w:tabs>
        <w:rPr>
          <w:rFonts w:ascii="Arial" w:hAnsi="Arial" w:cs="Arial"/>
          <w:b/>
          <w:sz w:val="22"/>
          <w:szCs w:val="22"/>
        </w:rPr>
      </w:pPr>
    </w:p>
    <w:p w:rsidR="004911B3" w:rsidRDefault="004911B3" w:rsidP="00200BDE">
      <w:pPr>
        <w:pStyle w:val="ListParagraph"/>
        <w:numPr>
          <w:ilvl w:val="0"/>
          <w:numId w:val="35"/>
        </w:numPr>
        <w:rPr>
          <w:rFonts w:ascii="Arial" w:hAnsi="Arial" w:cs="Arial"/>
          <w:b/>
          <w:sz w:val="22"/>
          <w:szCs w:val="22"/>
        </w:rPr>
      </w:pPr>
      <w:r w:rsidRPr="004911B3">
        <w:rPr>
          <w:rFonts w:ascii="Arial" w:hAnsi="Arial" w:cs="Arial"/>
          <w:b/>
          <w:sz w:val="22"/>
          <w:szCs w:val="22"/>
        </w:rPr>
        <w:t>The CY 2015 Corporate Operating Budget (COB) of the Corporation d</w:t>
      </w:r>
      <w:r w:rsidR="00931E79">
        <w:rPr>
          <w:rFonts w:ascii="Arial" w:hAnsi="Arial" w:cs="Arial"/>
          <w:b/>
          <w:sz w:val="22"/>
          <w:szCs w:val="22"/>
        </w:rPr>
        <w:t>o</w:t>
      </w:r>
      <w:r w:rsidRPr="004911B3">
        <w:rPr>
          <w:rFonts w:ascii="Arial" w:hAnsi="Arial" w:cs="Arial"/>
          <w:b/>
          <w:sz w:val="22"/>
          <w:szCs w:val="22"/>
        </w:rPr>
        <w:t xml:space="preserve"> not bear the requisite approval of the Department of Budget and Management (DBM) as required by Executive Order No. 518 thus rendering all PADC spending for the year on unstable foothold.</w:t>
      </w:r>
    </w:p>
    <w:p w:rsidR="004911B3" w:rsidRDefault="004911B3" w:rsidP="004911B3">
      <w:pPr>
        <w:pStyle w:val="ListParagraph"/>
        <w:ind w:left="360"/>
        <w:rPr>
          <w:rFonts w:ascii="Arial" w:hAnsi="Arial" w:cs="Arial"/>
          <w:b/>
          <w:sz w:val="22"/>
          <w:szCs w:val="22"/>
        </w:rPr>
      </w:pPr>
    </w:p>
    <w:p w:rsidR="004911B3" w:rsidRDefault="004911B3" w:rsidP="004911B3">
      <w:pPr>
        <w:ind w:left="360"/>
        <w:rPr>
          <w:rFonts w:ascii="Arial" w:hAnsi="Arial" w:cs="Arial"/>
          <w:sz w:val="22"/>
        </w:rPr>
      </w:pPr>
      <w:r>
        <w:rPr>
          <w:rFonts w:ascii="Arial" w:hAnsi="Arial" w:cs="Arial"/>
          <w:sz w:val="22"/>
        </w:rPr>
        <w:t>Section 6 of Executive Order No. 518 dated January 23. 1979</w:t>
      </w:r>
      <w:r w:rsidR="008C057C">
        <w:rPr>
          <w:rFonts w:ascii="Arial" w:hAnsi="Arial" w:cs="Arial"/>
          <w:sz w:val="22"/>
        </w:rPr>
        <w:t xml:space="preserve">, </w:t>
      </w:r>
      <w:r>
        <w:rPr>
          <w:rFonts w:ascii="Arial" w:hAnsi="Arial" w:cs="Arial"/>
          <w:sz w:val="22"/>
        </w:rPr>
        <w:t xml:space="preserve"> otherwise known as the “Government Corporate Budget Executive Order of 1978”</w:t>
      </w:r>
      <w:r w:rsidR="008C057C">
        <w:rPr>
          <w:rFonts w:ascii="Arial" w:hAnsi="Arial" w:cs="Arial"/>
          <w:sz w:val="22"/>
        </w:rPr>
        <w:t>,</w:t>
      </w:r>
      <w:r>
        <w:rPr>
          <w:rFonts w:ascii="Arial" w:hAnsi="Arial" w:cs="Arial"/>
          <w:sz w:val="22"/>
        </w:rPr>
        <w:t xml:space="preserve"> requires government-owned or controlled corporations to prepare an operating budget prior to the beginning of the year and have it recommended by its Governing Board for consideration and approval by the President/Prime Minister (presently delegated to the Department of Budget and Management).</w:t>
      </w:r>
    </w:p>
    <w:p w:rsidR="004911B3" w:rsidRDefault="004911B3" w:rsidP="004911B3">
      <w:pPr>
        <w:ind w:left="360"/>
        <w:rPr>
          <w:rFonts w:ascii="Arial" w:hAnsi="Arial" w:cs="Arial"/>
          <w:sz w:val="22"/>
        </w:rPr>
      </w:pPr>
    </w:p>
    <w:p w:rsidR="004911B3" w:rsidRDefault="004911B3" w:rsidP="00B9371B">
      <w:pPr>
        <w:tabs>
          <w:tab w:val="left" w:pos="360"/>
        </w:tabs>
        <w:ind w:left="360"/>
        <w:rPr>
          <w:rFonts w:ascii="Arial" w:hAnsi="Arial" w:cs="Arial"/>
          <w:sz w:val="22"/>
          <w:szCs w:val="22"/>
        </w:rPr>
      </w:pPr>
      <w:r>
        <w:rPr>
          <w:rFonts w:ascii="Arial" w:hAnsi="Arial" w:cs="Arial"/>
          <w:sz w:val="22"/>
        </w:rPr>
        <w:t>Further, Section 15 of said Order provides that “</w:t>
      </w:r>
      <w:r w:rsidRPr="00C5788D">
        <w:rPr>
          <w:rFonts w:ascii="Arial" w:hAnsi="Arial" w:cs="Arial"/>
          <w:sz w:val="22"/>
          <w:szCs w:val="22"/>
        </w:rPr>
        <w:t>No government-owned or controlled corporation shall incur obligations or make payments for current operating or capital expenditures after the beginning</w:t>
      </w:r>
      <w:r>
        <w:rPr>
          <w:rFonts w:ascii="Arial" w:hAnsi="Arial" w:cs="Arial"/>
          <w:sz w:val="22"/>
          <w:szCs w:val="22"/>
        </w:rPr>
        <w:t xml:space="preserve"> of each calendar year without a budget as approved under this Order.”</w:t>
      </w:r>
    </w:p>
    <w:p w:rsidR="004911B3" w:rsidRDefault="004911B3" w:rsidP="00B9371B">
      <w:pPr>
        <w:tabs>
          <w:tab w:val="left" w:pos="360"/>
        </w:tabs>
        <w:ind w:left="360"/>
        <w:rPr>
          <w:rFonts w:ascii="Arial" w:hAnsi="Arial" w:cs="Arial"/>
          <w:bCs/>
          <w:sz w:val="22"/>
          <w:szCs w:val="22"/>
        </w:rPr>
      </w:pPr>
    </w:p>
    <w:p w:rsidR="004911B3" w:rsidRDefault="004911B3" w:rsidP="00B9371B">
      <w:pPr>
        <w:tabs>
          <w:tab w:val="left" w:pos="360"/>
        </w:tabs>
        <w:ind w:left="360"/>
        <w:rPr>
          <w:rFonts w:ascii="Arial" w:hAnsi="Arial" w:cs="Arial"/>
          <w:bCs/>
          <w:sz w:val="22"/>
          <w:szCs w:val="22"/>
        </w:rPr>
      </w:pPr>
      <w:r>
        <w:rPr>
          <w:rFonts w:ascii="Arial" w:hAnsi="Arial" w:cs="Arial"/>
          <w:bCs/>
          <w:sz w:val="22"/>
          <w:szCs w:val="22"/>
        </w:rPr>
        <w:lastRenderedPageBreak/>
        <w:t>Our review of the Corporation’s budgetary and other fiscal transactions disclosed that its CY 2015 COB was not approved by the DBM.  Upon inquiry from Management, it was learned that the reason for the lack of approval was because the COB was submitted to the DBM only on December 4, 2015</w:t>
      </w:r>
      <w:r w:rsidR="006F6B91">
        <w:rPr>
          <w:rFonts w:ascii="Arial" w:hAnsi="Arial" w:cs="Arial"/>
          <w:bCs/>
          <w:sz w:val="22"/>
          <w:szCs w:val="22"/>
        </w:rPr>
        <w:t xml:space="preserve">, </w:t>
      </w:r>
      <w:r>
        <w:rPr>
          <w:rFonts w:ascii="Arial" w:hAnsi="Arial" w:cs="Arial"/>
          <w:bCs/>
          <w:sz w:val="22"/>
          <w:szCs w:val="22"/>
        </w:rPr>
        <w:t>or about three weeks before the end of the fiscal year.  The delay was due to the difficulty of mustering the required quorum for the members of the PADC Board to deliberate and approve the proposed 2015 budget.  Earlier, board meetings were held during said year but the resolution and approval of the budget was not obtained.  It was only in the first week of December 2015 that the majority number of board directors’ signatures was obtained to pass the 2015 budget.</w:t>
      </w:r>
    </w:p>
    <w:p w:rsidR="004911B3" w:rsidRDefault="004911B3" w:rsidP="00B9371B">
      <w:pPr>
        <w:tabs>
          <w:tab w:val="left" w:pos="360"/>
        </w:tabs>
        <w:ind w:left="360"/>
        <w:rPr>
          <w:rFonts w:ascii="Arial" w:hAnsi="Arial" w:cs="Arial"/>
          <w:bCs/>
          <w:sz w:val="22"/>
          <w:szCs w:val="22"/>
        </w:rPr>
      </w:pPr>
    </w:p>
    <w:p w:rsidR="004911B3" w:rsidRDefault="004911B3" w:rsidP="00B9371B">
      <w:pPr>
        <w:tabs>
          <w:tab w:val="left" w:pos="360"/>
        </w:tabs>
        <w:ind w:left="360"/>
        <w:rPr>
          <w:rFonts w:ascii="Arial" w:hAnsi="Arial" w:cs="Arial"/>
          <w:bCs/>
          <w:sz w:val="22"/>
          <w:szCs w:val="22"/>
        </w:rPr>
      </w:pPr>
      <w:r>
        <w:rPr>
          <w:rFonts w:ascii="Arial" w:hAnsi="Arial" w:cs="Arial"/>
          <w:bCs/>
          <w:sz w:val="22"/>
          <w:szCs w:val="22"/>
        </w:rPr>
        <w:t>We reiterate our previous audit recommendation that Management exert all efforts to promptly obtain the required board approval for the Corporation’s COB in order to comply with Executive Order No. 518.</w:t>
      </w:r>
    </w:p>
    <w:p w:rsidR="0076135D" w:rsidRDefault="0076135D" w:rsidP="00B9371B">
      <w:pPr>
        <w:tabs>
          <w:tab w:val="left" w:pos="360"/>
        </w:tabs>
        <w:ind w:left="360"/>
        <w:rPr>
          <w:rFonts w:ascii="Arial" w:hAnsi="Arial" w:cs="Arial"/>
          <w:bCs/>
          <w:sz w:val="22"/>
          <w:szCs w:val="22"/>
        </w:rPr>
      </w:pPr>
    </w:p>
    <w:p w:rsidR="004911B3" w:rsidRDefault="0076135D" w:rsidP="006F6B91">
      <w:pPr>
        <w:tabs>
          <w:tab w:val="left" w:pos="360"/>
        </w:tabs>
        <w:ind w:left="360"/>
        <w:rPr>
          <w:rFonts w:ascii="Arial" w:hAnsi="Arial" w:cs="Arial"/>
          <w:bCs/>
          <w:sz w:val="22"/>
          <w:szCs w:val="22"/>
        </w:rPr>
      </w:pPr>
      <w:r>
        <w:rPr>
          <w:rFonts w:ascii="Arial" w:hAnsi="Arial" w:cs="Arial"/>
          <w:bCs/>
          <w:sz w:val="22"/>
          <w:szCs w:val="22"/>
        </w:rPr>
        <w:t xml:space="preserve">Management replied that they </w:t>
      </w:r>
      <w:r w:rsidR="006F6B91">
        <w:rPr>
          <w:rFonts w:ascii="Arial" w:hAnsi="Arial" w:cs="Arial"/>
          <w:bCs/>
          <w:sz w:val="22"/>
          <w:szCs w:val="22"/>
        </w:rPr>
        <w:t>w</w:t>
      </w:r>
      <w:r>
        <w:rPr>
          <w:rFonts w:ascii="Arial" w:hAnsi="Arial" w:cs="Arial"/>
          <w:bCs/>
          <w:sz w:val="22"/>
          <w:szCs w:val="22"/>
        </w:rPr>
        <w:t xml:space="preserve">ill </w:t>
      </w:r>
      <w:r w:rsidR="006F6B91">
        <w:rPr>
          <w:rFonts w:ascii="Arial" w:hAnsi="Arial" w:cs="Arial"/>
          <w:bCs/>
          <w:sz w:val="22"/>
          <w:szCs w:val="22"/>
        </w:rPr>
        <w:t>conduct constant follow-ups with the DBM for</w:t>
      </w:r>
      <w:r>
        <w:rPr>
          <w:rFonts w:ascii="Arial" w:hAnsi="Arial" w:cs="Arial"/>
          <w:bCs/>
          <w:sz w:val="22"/>
          <w:szCs w:val="22"/>
        </w:rPr>
        <w:t xml:space="preserve"> the approval of their</w:t>
      </w:r>
      <w:r w:rsidR="00053F08">
        <w:rPr>
          <w:rFonts w:ascii="Arial" w:hAnsi="Arial" w:cs="Arial"/>
          <w:bCs/>
          <w:sz w:val="22"/>
          <w:szCs w:val="22"/>
        </w:rPr>
        <w:t xml:space="preserve"> 2015</w:t>
      </w:r>
      <w:r w:rsidR="006F6B91">
        <w:rPr>
          <w:rFonts w:ascii="Arial" w:hAnsi="Arial" w:cs="Arial"/>
          <w:bCs/>
          <w:sz w:val="22"/>
          <w:szCs w:val="22"/>
        </w:rPr>
        <w:t xml:space="preserve"> COB. </w:t>
      </w:r>
    </w:p>
    <w:p w:rsidR="006F6B91" w:rsidRPr="00551A38" w:rsidRDefault="006F6B91" w:rsidP="006F6B91">
      <w:pPr>
        <w:tabs>
          <w:tab w:val="left" w:pos="360"/>
        </w:tabs>
        <w:ind w:left="360"/>
        <w:rPr>
          <w:rFonts w:ascii="Arial" w:hAnsi="Arial" w:cs="Arial"/>
          <w:sz w:val="22"/>
        </w:rPr>
      </w:pPr>
    </w:p>
    <w:p w:rsidR="004911B3" w:rsidRPr="004911B3" w:rsidRDefault="004911B3" w:rsidP="004911B3">
      <w:pPr>
        <w:pStyle w:val="ListParagraph"/>
        <w:ind w:left="360" w:firstLine="360"/>
        <w:rPr>
          <w:rFonts w:ascii="Arial" w:hAnsi="Arial" w:cs="Arial"/>
          <w:b/>
          <w:sz w:val="22"/>
          <w:szCs w:val="22"/>
        </w:rPr>
      </w:pPr>
    </w:p>
    <w:p w:rsidR="007A3471" w:rsidRPr="007A3471" w:rsidRDefault="007A3471" w:rsidP="00200BDE">
      <w:pPr>
        <w:pStyle w:val="BlockText"/>
        <w:numPr>
          <w:ilvl w:val="0"/>
          <w:numId w:val="35"/>
        </w:numPr>
        <w:tabs>
          <w:tab w:val="clear" w:pos="7740"/>
        </w:tabs>
        <w:ind w:right="0"/>
        <w:rPr>
          <w:b/>
          <w:color w:val="auto"/>
        </w:rPr>
      </w:pPr>
      <w:r>
        <w:rPr>
          <w:b/>
          <w:bCs/>
          <w:color w:val="auto"/>
        </w:rPr>
        <w:t>Summary of Total Suspensions, Disallowances and Charges</w:t>
      </w:r>
    </w:p>
    <w:p w:rsidR="007A3471" w:rsidRDefault="007A3471" w:rsidP="007A3471">
      <w:pPr>
        <w:ind w:left="360" w:hanging="360"/>
        <w:rPr>
          <w:rFonts w:ascii="Arial" w:hAnsi="Arial" w:cs="Arial"/>
          <w:b/>
          <w:sz w:val="22"/>
          <w:szCs w:val="22"/>
        </w:rPr>
      </w:pPr>
    </w:p>
    <w:p w:rsidR="007A3471" w:rsidRDefault="007A3471" w:rsidP="007A3471">
      <w:pPr>
        <w:ind w:left="360"/>
        <w:rPr>
          <w:rFonts w:ascii="Arial" w:hAnsi="Arial" w:cs="Arial"/>
          <w:sz w:val="22"/>
          <w:szCs w:val="22"/>
        </w:rPr>
      </w:pPr>
      <w:r w:rsidRPr="006419EE">
        <w:rPr>
          <w:rFonts w:ascii="Arial" w:hAnsi="Arial" w:cs="Arial"/>
          <w:sz w:val="22"/>
          <w:szCs w:val="22"/>
        </w:rPr>
        <w:t>For CY 201</w:t>
      </w:r>
      <w:r w:rsidR="00F27936">
        <w:rPr>
          <w:rFonts w:ascii="Arial" w:hAnsi="Arial" w:cs="Arial"/>
          <w:sz w:val="22"/>
          <w:szCs w:val="22"/>
        </w:rPr>
        <w:t>5</w:t>
      </w:r>
      <w:r w:rsidR="009A063C">
        <w:rPr>
          <w:rFonts w:ascii="Arial" w:hAnsi="Arial" w:cs="Arial"/>
          <w:sz w:val="22"/>
          <w:szCs w:val="22"/>
        </w:rPr>
        <w:t xml:space="preserve"> and 2014</w:t>
      </w:r>
      <w:r w:rsidRPr="006419EE">
        <w:rPr>
          <w:rFonts w:ascii="Arial" w:hAnsi="Arial" w:cs="Arial"/>
          <w:sz w:val="22"/>
          <w:szCs w:val="22"/>
        </w:rPr>
        <w:t>, the unsettled Suspension, Disallowances and Charges are as follows:</w:t>
      </w:r>
    </w:p>
    <w:p w:rsidR="009A063C" w:rsidRPr="009A063C" w:rsidRDefault="009A063C" w:rsidP="007A3471">
      <w:pPr>
        <w:ind w:left="360"/>
        <w:rPr>
          <w:rFonts w:ascii="Arial" w:hAnsi="Arial" w:cs="Arial"/>
          <w:sz w:val="22"/>
          <w:szCs w:val="22"/>
        </w:rPr>
      </w:pPr>
      <w:r>
        <w:rPr>
          <w:rFonts w:ascii="Arial" w:hAnsi="Arial" w:cs="Arial"/>
          <w:sz w:val="22"/>
          <w:szCs w:val="22"/>
        </w:rPr>
        <w:t xml:space="preserve">                                                                              2015                 2014</w:t>
      </w:r>
    </w:p>
    <w:p w:rsidR="007A3471" w:rsidRPr="009A063C" w:rsidRDefault="007A3471" w:rsidP="007A3471">
      <w:pPr>
        <w:jc w:val="right"/>
        <w:rPr>
          <w:rFonts w:ascii="Arial" w:hAnsi="Arial" w:cs="Arial"/>
          <w:sz w:val="22"/>
          <w:szCs w:val="22"/>
        </w:rPr>
      </w:pPr>
    </w:p>
    <w:tbl>
      <w:tblPr>
        <w:tblW w:w="0" w:type="auto"/>
        <w:tblInd w:w="577" w:type="dxa"/>
        <w:tblLook w:val="04A0" w:firstRow="1" w:lastRow="0" w:firstColumn="1" w:lastColumn="0" w:noHBand="0" w:noVBand="1"/>
      </w:tblPr>
      <w:tblGrid>
        <w:gridCol w:w="3601"/>
        <w:gridCol w:w="363"/>
        <w:gridCol w:w="1623"/>
        <w:gridCol w:w="1623"/>
      </w:tblGrid>
      <w:tr w:rsidR="009A063C" w:rsidRPr="009A063C" w:rsidTr="009A063C">
        <w:tc>
          <w:tcPr>
            <w:tcW w:w="3601" w:type="dxa"/>
          </w:tcPr>
          <w:p w:rsidR="009A063C" w:rsidRPr="009A063C" w:rsidRDefault="009A063C" w:rsidP="008E64A8">
            <w:pPr>
              <w:rPr>
                <w:rFonts w:ascii="Arial" w:hAnsi="Arial" w:cs="Arial"/>
                <w:sz w:val="22"/>
                <w:szCs w:val="22"/>
              </w:rPr>
            </w:pPr>
            <w:r w:rsidRPr="009A063C">
              <w:rPr>
                <w:rFonts w:ascii="Arial" w:hAnsi="Arial" w:cs="Arial"/>
                <w:sz w:val="22"/>
                <w:szCs w:val="22"/>
              </w:rPr>
              <w:t xml:space="preserve">           Suspension</w:t>
            </w:r>
          </w:p>
        </w:tc>
        <w:tc>
          <w:tcPr>
            <w:tcW w:w="363" w:type="dxa"/>
          </w:tcPr>
          <w:p w:rsidR="009A063C" w:rsidRPr="009A063C" w:rsidRDefault="009A063C" w:rsidP="008E64A8">
            <w:pPr>
              <w:rPr>
                <w:rFonts w:ascii="Arial" w:hAnsi="Arial" w:cs="Arial"/>
                <w:sz w:val="22"/>
                <w:szCs w:val="22"/>
              </w:rPr>
            </w:pPr>
            <w:r w:rsidRPr="009A063C">
              <w:rPr>
                <w:rFonts w:ascii="Arial" w:hAnsi="Arial" w:cs="Arial"/>
                <w:sz w:val="22"/>
                <w:szCs w:val="22"/>
              </w:rPr>
              <w:t>P</w:t>
            </w:r>
          </w:p>
        </w:tc>
        <w:tc>
          <w:tcPr>
            <w:tcW w:w="1623" w:type="dxa"/>
          </w:tcPr>
          <w:p w:rsidR="009A063C" w:rsidRPr="009A063C" w:rsidRDefault="009A063C" w:rsidP="008E64A8">
            <w:pPr>
              <w:jc w:val="right"/>
              <w:rPr>
                <w:rFonts w:ascii="Arial" w:hAnsi="Arial" w:cs="Arial"/>
                <w:sz w:val="22"/>
                <w:szCs w:val="22"/>
              </w:rPr>
            </w:pPr>
            <w:r w:rsidRPr="009A063C">
              <w:rPr>
                <w:rFonts w:ascii="Arial" w:hAnsi="Arial" w:cs="Arial"/>
                <w:sz w:val="22"/>
                <w:szCs w:val="22"/>
              </w:rPr>
              <w:t>0</w:t>
            </w:r>
          </w:p>
        </w:tc>
        <w:tc>
          <w:tcPr>
            <w:tcW w:w="1504" w:type="dxa"/>
          </w:tcPr>
          <w:p w:rsidR="009A063C" w:rsidRPr="009A063C" w:rsidRDefault="009A063C" w:rsidP="009A063C">
            <w:pPr>
              <w:ind w:left="46" w:hanging="46"/>
              <w:jc w:val="right"/>
              <w:rPr>
                <w:rFonts w:ascii="Arial" w:hAnsi="Arial" w:cs="Arial"/>
                <w:sz w:val="22"/>
                <w:szCs w:val="22"/>
              </w:rPr>
            </w:pPr>
            <w:r w:rsidRPr="009A063C">
              <w:rPr>
                <w:rFonts w:ascii="Arial" w:hAnsi="Arial" w:cs="Arial"/>
                <w:sz w:val="22"/>
                <w:szCs w:val="22"/>
              </w:rPr>
              <w:t>0</w:t>
            </w:r>
          </w:p>
        </w:tc>
      </w:tr>
      <w:tr w:rsidR="009A063C" w:rsidRPr="00D03D11" w:rsidTr="009A063C">
        <w:tc>
          <w:tcPr>
            <w:tcW w:w="3601" w:type="dxa"/>
          </w:tcPr>
          <w:p w:rsidR="009A063C" w:rsidRPr="00D03D11" w:rsidRDefault="009A063C" w:rsidP="008E64A8">
            <w:pPr>
              <w:rPr>
                <w:rFonts w:ascii="Arial" w:hAnsi="Arial" w:cs="Arial"/>
                <w:sz w:val="22"/>
                <w:szCs w:val="22"/>
              </w:rPr>
            </w:pPr>
            <w:r w:rsidRPr="00D03D11">
              <w:rPr>
                <w:rFonts w:ascii="Arial" w:hAnsi="Arial" w:cs="Arial"/>
                <w:sz w:val="22"/>
                <w:szCs w:val="22"/>
              </w:rPr>
              <w:t xml:space="preserve">           Disallowances</w:t>
            </w:r>
          </w:p>
        </w:tc>
        <w:tc>
          <w:tcPr>
            <w:tcW w:w="363" w:type="dxa"/>
          </w:tcPr>
          <w:p w:rsidR="009A063C" w:rsidRPr="00D03D11" w:rsidRDefault="009A063C" w:rsidP="008E64A8">
            <w:pPr>
              <w:rPr>
                <w:rFonts w:ascii="Arial" w:hAnsi="Arial" w:cs="Arial"/>
                <w:sz w:val="22"/>
                <w:szCs w:val="22"/>
              </w:rPr>
            </w:pPr>
          </w:p>
        </w:tc>
        <w:tc>
          <w:tcPr>
            <w:tcW w:w="1623" w:type="dxa"/>
          </w:tcPr>
          <w:p w:rsidR="009A063C" w:rsidRPr="00D03D11" w:rsidRDefault="009A063C" w:rsidP="00F27936">
            <w:pPr>
              <w:jc w:val="right"/>
              <w:rPr>
                <w:rFonts w:ascii="Arial" w:hAnsi="Arial" w:cs="Arial"/>
                <w:sz w:val="22"/>
                <w:szCs w:val="22"/>
              </w:rPr>
            </w:pPr>
            <w:r>
              <w:rPr>
                <w:rFonts w:ascii="Arial" w:hAnsi="Arial" w:cs="Arial"/>
                <w:sz w:val="22"/>
                <w:szCs w:val="22"/>
              </w:rPr>
              <w:t>7,430</w:t>
            </w:r>
            <w:r w:rsidRPr="00D03D11">
              <w:rPr>
                <w:rFonts w:ascii="Arial" w:hAnsi="Arial" w:cs="Arial"/>
                <w:sz w:val="22"/>
                <w:szCs w:val="22"/>
              </w:rPr>
              <w:t>,</w:t>
            </w:r>
            <w:r>
              <w:rPr>
                <w:rFonts w:ascii="Arial" w:hAnsi="Arial" w:cs="Arial"/>
                <w:sz w:val="22"/>
                <w:szCs w:val="22"/>
              </w:rPr>
              <w:t>887</w:t>
            </w:r>
            <w:r w:rsidRPr="00D03D11">
              <w:rPr>
                <w:rFonts w:ascii="Arial" w:hAnsi="Arial" w:cs="Arial"/>
                <w:sz w:val="22"/>
                <w:szCs w:val="22"/>
              </w:rPr>
              <w:t>.</w:t>
            </w:r>
            <w:r>
              <w:rPr>
                <w:rFonts w:ascii="Arial" w:hAnsi="Arial" w:cs="Arial"/>
                <w:sz w:val="22"/>
                <w:szCs w:val="22"/>
              </w:rPr>
              <w:t>04</w:t>
            </w:r>
          </w:p>
        </w:tc>
        <w:tc>
          <w:tcPr>
            <w:tcW w:w="1504" w:type="dxa"/>
          </w:tcPr>
          <w:p w:rsidR="009A063C" w:rsidRDefault="009A063C" w:rsidP="009A063C">
            <w:pPr>
              <w:ind w:left="46" w:hanging="46"/>
              <w:jc w:val="right"/>
              <w:rPr>
                <w:rFonts w:ascii="Arial" w:hAnsi="Arial" w:cs="Arial"/>
                <w:sz w:val="22"/>
                <w:szCs w:val="22"/>
              </w:rPr>
            </w:pPr>
            <w:r>
              <w:rPr>
                <w:rFonts w:ascii="Arial" w:hAnsi="Arial" w:cs="Arial"/>
                <w:sz w:val="22"/>
                <w:szCs w:val="22"/>
              </w:rPr>
              <w:t>7,520,137.68</w:t>
            </w:r>
          </w:p>
        </w:tc>
      </w:tr>
      <w:tr w:rsidR="009A063C" w:rsidRPr="00D03D11" w:rsidTr="009A063C">
        <w:tc>
          <w:tcPr>
            <w:tcW w:w="3601" w:type="dxa"/>
          </w:tcPr>
          <w:p w:rsidR="009A063C" w:rsidRPr="00D03D11" w:rsidRDefault="009A063C" w:rsidP="008E64A8">
            <w:pPr>
              <w:rPr>
                <w:rFonts w:ascii="Arial" w:hAnsi="Arial" w:cs="Arial"/>
                <w:sz w:val="22"/>
                <w:szCs w:val="22"/>
              </w:rPr>
            </w:pPr>
            <w:r w:rsidRPr="00D03D11">
              <w:rPr>
                <w:rFonts w:ascii="Arial" w:hAnsi="Arial" w:cs="Arial"/>
                <w:sz w:val="22"/>
                <w:szCs w:val="22"/>
              </w:rPr>
              <w:t xml:space="preserve">           Charges</w:t>
            </w:r>
          </w:p>
        </w:tc>
        <w:tc>
          <w:tcPr>
            <w:tcW w:w="363" w:type="dxa"/>
            <w:tcBorders>
              <w:bottom w:val="single" w:sz="4" w:space="0" w:color="auto"/>
            </w:tcBorders>
          </w:tcPr>
          <w:p w:rsidR="009A063C" w:rsidRPr="00D03D11" w:rsidRDefault="009A063C" w:rsidP="008E64A8">
            <w:pPr>
              <w:rPr>
                <w:rFonts w:ascii="Arial" w:hAnsi="Arial" w:cs="Arial"/>
                <w:sz w:val="22"/>
                <w:szCs w:val="22"/>
              </w:rPr>
            </w:pPr>
          </w:p>
        </w:tc>
        <w:tc>
          <w:tcPr>
            <w:tcW w:w="1623" w:type="dxa"/>
            <w:tcBorders>
              <w:bottom w:val="single" w:sz="4" w:space="0" w:color="auto"/>
            </w:tcBorders>
          </w:tcPr>
          <w:p w:rsidR="009A063C" w:rsidRPr="00D03D11" w:rsidRDefault="009A063C" w:rsidP="008E64A8">
            <w:pPr>
              <w:jc w:val="right"/>
              <w:rPr>
                <w:rFonts w:ascii="Arial" w:hAnsi="Arial" w:cs="Arial"/>
                <w:sz w:val="22"/>
                <w:szCs w:val="22"/>
              </w:rPr>
            </w:pPr>
            <w:r w:rsidRPr="00D03D11">
              <w:rPr>
                <w:rFonts w:ascii="Arial" w:hAnsi="Arial" w:cs="Arial"/>
                <w:sz w:val="22"/>
                <w:szCs w:val="22"/>
              </w:rPr>
              <w:t>9,259,741.45</w:t>
            </w:r>
          </w:p>
        </w:tc>
        <w:tc>
          <w:tcPr>
            <w:tcW w:w="1504" w:type="dxa"/>
            <w:tcBorders>
              <w:bottom w:val="single" w:sz="4" w:space="0" w:color="auto"/>
            </w:tcBorders>
          </w:tcPr>
          <w:p w:rsidR="009A063C" w:rsidRPr="00D03D11" w:rsidRDefault="009A063C" w:rsidP="009A063C">
            <w:pPr>
              <w:ind w:left="46" w:hanging="46"/>
              <w:jc w:val="right"/>
              <w:rPr>
                <w:rFonts w:ascii="Arial" w:hAnsi="Arial" w:cs="Arial"/>
                <w:sz w:val="22"/>
                <w:szCs w:val="22"/>
              </w:rPr>
            </w:pPr>
            <w:r>
              <w:rPr>
                <w:rFonts w:ascii="Arial" w:hAnsi="Arial" w:cs="Arial"/>
                <w:sz w:val="22"/>
                <w:szCs w:val="22"/>
              </w:rPr>
              <w:t>9,259,741.45</w:t>
            </w:r>
          </w:p>
        </w:tc>
      </w:tr>
      <w:tr w:rsidR="009A063C" w:rsidRPr="00D03D11" w:rsidTr="009A063C">
        <w:tc>
          <w:tcPr>
            <w:tcW w:w="3601" w:type="dxa"/>
          </w:tcPr>
          <w:p w:rsidR="009A063C" w:rsidRPr="00D03D11" w:rsidRDefault="009A063C" w:rsidP="008E64A8">
            <w:pPr>
              <w:rPr>
                <w:rFonts w:ascii="Arial" w:hAnsi="Arial" w:cs="Arial"/>
                <w:sz w:val="22"/>
                <w:szCs w:val="22"/>
              </w:rPr>
            </w:pPr>
          </w:p>
        </w:tc>
        <w:tc>
          <w:tcPr>
            <w:tcW w:w="363" w:type="dxa"/>
            <w:tcBorders>
              <w:top w:val="single" w:sz="4" w:space="0" w:color="auto"/>
              <w:bottom w:val="double" w:sz="4" w:space="0" w:color="auto"/>
            </w:tcBorders>
          </w:tcPr>
          <w:p w:rsidR="009A063C" w:rsidRPr="00D03D11" w:rsidRDefault="009A063C" w:rsidP="008E64A8">
            <w:pPr>
              <w:rPr>
                <w:rFonts w:ascii="Arial" w:hAnsi="Arial" w:cs="Arial"/>
                <w:sz w:val="22"/>
                <w:szCs w:val="22"/>
              </w:rPr>
            </w:pPr>
          </w:p>
          <w:p w:rsidR="009A063C" w:rsidRPr="00D03D11" w:rsidRDefault="009A063C" w:rsidP="008E64A8">
            <w:pPr>
              <w:rPr>
                <w:rFonts w:ascii="Arial" w:hAnsi="Arial" w:cs="Arial"/>
                <w:sz w:val="22"/>
                <w:szCs w:val="22"/>
              </w:rPr>
            </w:pPr>
            <w:r w:rsidRPr="00D03D11">
              <w:rPr>
                <w:rFonts w:ascii="Arial" w:hAnsi="Arial" w:cs="Arial"/>
                <w:sz w:val="22"/>
                <w:szCs w:val="22"/>
              </w:rPr>
              <w:t>P</w:t>
            </w:r>
          </w:p>
        </w:tc>
        <w:tc>
          <w:tcPr>
            <w:tcW w:w="1623" w:type="dxa"/>
            <w:tcBorders>
              <w:top w:val="single" w:sz="4" w:space="0" w:color="auto"/>
              <w:bottom w:val="double" w:sz="4" w:space="0" w:color="auto"/>
            </w:tcBorders>
          </w:tcPr>
          <w:p w:rsidR="009A063C" w:rsidRPr="00D03D11" w:rsidRDefault="009A063C" w:rsidP="008E64A8">
            <w:pPr>
              <w:jc w:val="right"/>
              <w:rPr>
                <w:rFonts w:ascii="Arial" w:hAnsi="Arial" w:cs="Arial"/>
                <w:sz w:val="22"/>
                <w:szCs w:val="22"/>
              </w:rPr>
            </w:pPr>
          </w:p>
          <w:p w:rsidR="009A063C" w:rsidRPr="00D03D11" w:rsidRDefault="009A063C" w:rsidP="00F27936">
            <w:pPr>
              <w:jc w:val="right"/>
              <w:rPr>
                <w:rFonts w:ascii="Arial" w:hAnsi="Arial" w:cs="Arial"/>
                <w:sz w:val="22"/>
                <w:szCs w:val="22"/>
              </w:rPr>
            </w:pPr>
            <w:r w:rsidRPr="00D03D11">
              <w:rPr>
                <w:rFonts w:ascii="Arial" w:hAnsi="Arial" w:cs="Arial"/>
                <w:sz w:val="22"/>
                <w:szCs w:val="22"/>
              </w:rPr>
              <w:t>1</w:t>
            </w:r>
            <w:r>
              <w:rPr>
                <w:rFonts w:ascii="Arial" w:hAnsi="Arial" w:cs="Arial"/>
                <w:sz w:val="22"/>
                <w:szCs w:val="22"/>
              </w:rPr>
              <w:t>6</w:t>
            </w:r>
            <w:r w:rsidRPr="00D03D11">
              <w:rPr>
                <w:rFonts w:ascii="Arial" w:hAnsi="Arial" w:cs="Arial"/>
                <w:sz w:val="22"/>
                <w:szCs w:val="22"/>
              </w:rPr>
              <w:t>,</w:t>
            </w:r>
            <w:r>
              <w:rPr>
                <w:rFonts w:ascii="Arial" w:hAnsi="Arial" w:cs="Arial"/>
                <w:sz w:val="22"/>
                <w:szCs w:val="22"/>
              </w:rPr>
              <w:t>690</w:t>
            </w:r>
            <w:r w:rsidRPr="00D03D11">
              <w:rPr>
                <w:rFonts w:ascii="Arial" w:hAnsi="Arial" w:cs="Arial"/>
                <w:sz w:val="22"/>
                <w:szCs w:val="22"/>
              </w:rPr>
              <w:t>,</w:t>
            </w:r>
            <w:r>
              <w:rPr>
                <w:rFonts w:ascii="Arial" w:hAnsi="Arial" w:cs="Arial"/>
                <w:sz w:val="22"/>
                <w:szCs w:val="22"/>
              </w:rPr>
              <w:t>628</w:t>
            </w:r>
            <w:r w:rsidRPr="00D03D11">
              <w:rPr>
                <w:rFonts w:ascii="Arial" w:hAnsi="Arial" w:cs="Arial"/>
                <w:sz w:val="22"/>
                <w:szCs w:val="22"/>
              </w:rPr>
              <w:t>.</w:t>
            </w:r>
            <w:r>
              <w:rPr>
                <w:rFonts w:ascii="Arial" w:hAnsi="Arial" w:cs="Arial"/>
                <w:sz w:val="22"/>
                <w:szCs w:val="22"/>
              </w:rPr>
              <w:t>49</w:t>
            </w:r>
          </w:p>
        </w:tc>
        <w:tc>
          <w:tcPr>
            <w:tcW w:w="1504" w:type="dxa"/>
            <w:tcBorders>
              <w:top w:val="single" w:sz="4" w:space="0" w:color="auto"/>
              <w:bottom w:val="double" w:sz="4" w:space="0" w:color="auto"/>
            </w:tcBorders>
            <w:vAlign w:val="bottom"/>
          </w:tcPr>
          <w:p w:rsidR="009A063C" w:rsidRPr="00D03D11" w:rsidRDefault="009A063C" w:rsidP="009A063C">
            <w:pPr>
              <w:ind w:left="46" w:hanging="46"/>
              <w:jc w:val="right"/>
              <w:rPr>
                <w:rFonts w:ascii="Arial" w:hAnsi="Arial" w:cs="Arial"/>
                <w:sz w:val="22"/>
                <w:szCs w:val="22"/>
              </w:rPr>
            </w:pPr>
            <w:r>
              <w:rPr>
                <w:rFonts w:ascii="Arial" w:hAnsi="Arial" w:cs="Arial"/>
                <w:sz w:val="22"/>
                <w:szCs w:val="22"/>
              </w:rPr>
              <w:t>16,779,879.13</w:t>
            </w:r>
          </w:p>
        </w:tc>
      </w:tr>
    </w:tbl>
    <w:p w:rsidR="007A3471" w:rsidRDefault="007A3471" w:rsidP="007A3471">
      <w:pPr>
        <w:rPr>
          <w:rFonts w:ascii="Arial" w:hAnsi="Arial" w:cs="Arial"/>
          <w:b/>
          <w:sz w:val="22"/>
          <w:szCs w:val="22"/>
        </w:rPr>
      </w:pPr>
    </w:p>
    <w:p w:rsidR="007A3471" w:rsidRDefault="007A3471" w:rsidP="00CD1EF7">
      <w:pPr>
        <w:ind w:left="360"/>
        <w:rPr>
          <w:rFonts w:ascii="Arial" w:hAnsi="Arial" w:cs="Arial"/>
          <w:sz w:val="22"/>
          <w:szCs w:val="22"/>
        </w:rPr>
      </w:pPr>
    </w:p>
    <w:p w:rsidR="007A3471" w:rsidRPr="007A3471" w:rsidRDefault="007A3471" w:rsidP="00200BDE">
      <w:pPr>
        <w:pStyle w:val="BlockText"/>
        <w:numPr>
          <w:ilvl w:val="0"/>
          <w:numId w:val="35"/>
        </w:numPr>
        <w:tabs>
          <w:tab w:val="clear" w:pos="7740"/>
        </w:tabs>
        <w:ind w:right="0"/>
        <w:rPr>
          <w:b/>
          <w:color w:val="auto"/>
        </w:rPr>
      </w:pPr>
      <w:r>
        <w:rPr>
          <w:b/>
          <w:color w:val="auto"/>
        </w:rPr>
        <w:t>Other Matters</w:t>
      </w:r>
    </w:p>
    <w:p w:rsidR="00A45F91" w:rsidRDefault="00A45F91" w:rsidP="00CD1EF7">
      <w:pPr>
        <w:ind w:left="360"/>
        <w:rPr>
          <w:rFonts w:ascii="Arial" w:hAnsi="Arial" w:cs="Arial"/>
          <w:sz w:val="22"/>
          <w:szCs w:val="22"/>
        </w:rPr>
      </w:pPr>
    </w:p>
    <w:p w:rsidR="00A45F91" w:rsidRPr="00A45F91" w:rsidRDefault="00A45F91" w:rsidP="00A45F91">
      <w:pPr>
        <w:pStyle w:val="BlockText"/>
        <w:ind w:left="0" w:firstLine="0"/>
        <w:rPr>
          <w:b/>
          <w:color w:val="auto"/>
        </w:rPr>
      </w:pPr>
      <w:r>
        <w:rPr>
          <w:b/>
        </w:rPr>
        <w:t xml:space="preserve">      </w:t>
      </w:r>
      <w:r w:rsidRPr="00A45F91">
        <w:rPr>
          <w:b/>
          <w:color w:val="auto"/>
        </w:rPr>
        <w:t>Compliance with Republic Act (RA)  656 and 8291</w:t>
      </w:r>
    </w:p>
    <w:p w:rsidR="00A45F91" w:rsidRPr="00A45F91" w:rsidRDefault="00A45F91" w:rsidP="00A45F91">
      <w:pPr>
        <w:pStyle w:val="BlockText"/>
        <w:ind w:left="540" w:hanging="540"/>
        <w:rPr>
          <w:color w:val="auto"/>
        </w:rPr>
      </w:pPr>
      <w:r w:rsidRPr="00A45F91">
        <w:rPr>
          <w:color w:val="auto"/>
        </w:rPr>
        <w:tab/>
        <w:t xml:space="preserve"> </w:t>
      </w:r>
    </w:p>
    <w:p w:rsidR="00A45F91" w:rsidRPr="00A45F91" w:rsidRDefault="00A45F91" w:rsidP="00A45F91">
      <w:pPr>
        <w:pStyle w:val="BlockText"/>
        <w:rPr>
          <w:color w:val="auto"/>
        </w:rPr>
      </w:pPr>
      <w:r w:rsidRPr="00A45F91">
        <w:rPr>
          <w:color w:val="auto"/>
        </w:rPr>
        <w:tab/>
        <w:t xml:space="preserve">PADC has insured its hangars and motor vehicles with GSIS pursuant to RA 656 as amended by Presidential Decree No. 245.  A </w:t>
      </w:r>
      <w:r w:rsidR="00DA2CEB">
        <w:rPr>
          <w:color w:val="auto"/>
        </w:rPr>
        <w:t>total of P</w:t>
      </w:r>
      <w:r w:rsidRPr="00A45F91">
        <w:rPr>
          <w:color w:val="auto"/>
        </w:rPr>
        <w:t>5</w:t>
      </w:r>
      <w:r w:rsidR="0006163A">
        <w:rPr>
          <w:color w:val="auto"/>
        </w:rPr>
        <w:t>41</w:t>
      </w:r>
      <w:r w:rsidRPr="00A45F91">
        <w:rPr>
          <w:color w:val="auto"/>
        </w:rPr>
        <w:t>,</w:t>
      </w:r>
      <w:r w:rsidR="0006163A">
        <w:rPr>
          <w:color w:val="auto"/>
        </w:rPr>
        <w:t>553</w:t>
      </w:r>
      <w:r w:rsidRPr="00A45F91">
        <w:rPr>
          <w:color w:val="auto"/>
        </w:rPr>
        <w:t xml:space="preserve"> ha</w:t>
      </w:r>
      <w:r w:rsidR="00444781">
        <w:rPr>
          <w:color w:val="auto"/>
        </w:rPr>
        <w:t>s</w:t>
      </w:r>
      <w:r w:rsidRPr="00A45F91">
        <w:rPr>
          <w:color w:val="auto"/>
        </w:rPr>
        <w:t xml:space="preserve"> been paid as insurance premiums in 201</w:t>
      </w:r>
      <w:r w:rsidR="00624EE0">
        <w:rPr>
          <w:color w:val="auto"/>
        </w:rPr>
        <w:t>5</w:t>
      </w:r>
      <w:r w:rsidRPr="00A45F91">
        <w:rPr>
          <w:color w:val="auto"/>
        </w:rPr>
        <w:t xml:space="preserve">. </w:t>
      </w:r>
    </w:p>
    <w:p w:rsidR="00A45F91" w:rsidRPr="00A45F91" w:rsidRDefault="00A45F91" w:rsidP="00A45F91">
      <w:pPr>
        <w:pStyle w:val="BlockText"/>
        <w:rPr>
          <w:color w:val="auto"/>
        </w:rPr>
      </w:pPr>
    </w:p>
    <w:p w:rsidR="00A45F91" w:rsidRPr="00A45F91" w:rsidRDefault="00A45F91" w:rsidP="00A45F91">
      <w:pPr>
        <w:pStyle w:val="BlockText"/>
        <w:rPr>
          <w:color w:val="auto"/>
        </w:rPr>
      </w:pPr>
      <w:r w:rsidRPr="00A45F91">
        <w:rPr>
          <w:color w:val="auto"/>
        </w:rPr>
        <w:tab/>
        <w:t>PADC has been consistently deducting GSIS premiums from the salaries of its officers and employees and remitting the State Insurance Fund (SIF) and Employees Compensation Insurance Fund (ECIF) premiums to the GSIS in accordance with RA 8291.  A total of P</w:t>
      </w:r>
      <w:r w:rsidR="00624EE0">
        <w:rPr>
          <w:color w:val="auto"/>
        </w:rPr>
        <w:t>3</w:t>
      </w:r>
      <w:r w:rsidRPr="00A45F91">
        <w:rPr>
          <w:color w:val="auto"/>
        </w:rPr>
        <w:t>.</w:t>
      </w:r>
      <w:r w:rsidR="00624EE0">
        <w:rPr>
          <w:color w:val="auto"/>
        </w:rPr>
        <w:t xml:space="preserve">162 million was remitted </w:t>
      </w:r>
      <w:r w:rsidR="006F6B91">
        <w:rPr>
          <w:color w:val="auto"/>
        </w:rPr>
        <w:t>in 2015</w:t>
      </w:r>
      <w:r w:rsidRPr="00A45F91">
        <w:rPr>
          <w:color w:val="auto"/>
        </w:rPr>
        <w:t>.</w:t>
      </w:r>
    </w:p>
    <w:p w:rsidR="00A45F91" w:rsidRDefault="00A45F91" w:rsidP="00CD1EF7">
      <w:pPr>
        <w:ind w:left="360"/>
        <w:rPr>
          <w:rFonts w:ascii="Arial" w:hAnsi="Arial" w:cs="Arial"/>
          <w:sz w:val="22"/>
          <w:szCs w:val="22"/>
        </w:rPr>
      </w:pPr>
    </w:p>
    <w:sectPr w:rsidR="00A45F91" w:rsidSect="00A121DC">
      <w:footerReference w:type="default" r:id="rId8"/>
      <w:pgSz w:w="12240" w:h="15840" w:code="1"/>
      <w:pgMar w:top="1440" w:right="1440" w:bottom="1440" w:left="1728"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D6C" w:rsidRDefault="00994D6C" w:rsidP="00043A62">
      <w:r>
        <w:separator/>
      </w:r>
    </w:p>
  </w:endnote>
  <w:endnote w:type="continuationSeparator" w:id="0">
    <w:p w:rsidR="00994D6C" w:rsidRDefault="00994D6C" w:rsidP="0004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6719"/>
      <w:docPartObj>
        <w:docPartGallery w:val="Page Numbers (Bottom of Page)"/>
        <w:docPartUnique/>
      </w:docPartObj>
    </w:sdtPr>
    <w:sdtEndPr/>
    <w:sdtContent>
      <w:p w:rsidR="00266FD1" w:rsidRDefault="00620E1C">
        <w:pPr>
          <w:pStyle w:val="Footer"/>
          <w:jc w:val="right"/>
        </w:pPr>
        <w:r>
          <w:fldChar w:fldCharType="begin"/>
        </w:r>
        <w:r>
          <w:instrText xml:space="preserve"> PAGE   \* MERGEFORMAT </w:instrText>
        </w:r>
        <w:r>
          <w:fldChar w:fldCharType="separate"/>
        </w:r>
        <w:r w:rsidR="000A592F">
          <w:rPr>
            <w:noProof/>
          </w:rPr>
          <w:t>18</w:t>
        </w:r>
        <w:r>
          <w:rPr>
            <w:noProof/>
          </w:rPr>
          <w:fldChar w:fldCharType="end"/>
        </w:r>
      </w:p>
    </w:sdtContent>
  </w:sdt>
  <w:p w:rsidR="00266FD1" w:rsidRPr="00FB6C27" w:rsidRDefault="00266FD1">
    <w:pPr>
      <w:pStyle w:val="Footer"/>
      <w:jc w:val="right"/>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D6C" w:rsidRDefault="00994D6C" w:rsidP="00043A62">
      <w:r>
        <w:separator/>
      </w:r>
    </w:p>
  </w:footnote>
  <w:footnote w:type="continuationSeparator" w:id="0">
    <w:p w:rsidR="00994D6C" w:rsidRDefault="00994D6C" w:rsidP="00043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0"/>
    <w:multiLevelType w:val="hybridMultilevel"/>
    <w:tmpl w:val="D5EAE9F4"/>
    <w:lvl w:ilvl="0" w:tplc="0409000F">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5F138F"/>
    <w:multiLevelType w:val="hybridMultilevel"/>
    <w:tmpl w:val="4E906AC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61365"/>
    <w:multiLevelType w:val="hybridMultilevel"/>
    <w:tmpl w:val="0B38CEA4"/>
    <w:lvl w:ilvl="0" w:tplc="0E9CE1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B58E6"/>
    <w:multiLevelType w:val="hybridMultilevel"/>
    <w:tmpl w:val="3C5032B6"/>
    <w:lvl w:ilvl="0" w:tplc="13727A6C">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D8117E"/>
    <w:multiLevelType w:val="hybridMultilevel"/>
    <w:tmpl w:val="03425350"/>
    <w:lvl w:ilvl="0" w:tplc="98D4A776">
      <w:start w:val="1"/>
      <w:numFmt w:val="lowerLetter"/>
      <w:lvlText w:val="%1."/>
      <w:lvlJc w:val="left"/>
      <w:pPr>
        <w:tabs>
          <w:tab w:val="num" w:pos="990"/>
        </w:tabs>
        <w:ind w:left="990" w:hanging="360"/>
      </w:pPr>
      <w:rPr>
        <w:rFonts w:ascii="Arial" w:eastAsia="Times New Roman" w:hAnsi="Arial" w:cs="Arial"/>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13927C66"/>
    <w:multiLevelType w:val="hybridMultilevel"/>
    <w:tmpl w:val="A434D98C"/>
    <w:lvl w:ilvl="0" w:tplc="592C5D2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35BAA"/>
    <w:multiLevelType w:val="hybridMultilevel"/>
    <w:tmpl w:val="2932B7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951AC"/>
    <w:multiLevelType w:val="hybridMultilevel"/>
    <w:tmpl w:val="37BC6F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56B3D"/>
    <w:multiLevelType w:val="hybridMultilevel"/>
    <w:tmpl w:val="6EEA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241C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C20256F"/>
    <w:multiLevelType w:val="hybridMultilevel"/>
    <w:tmpl w:val="13482756"/>
    <w:lvl w:ilvl="0" w:tplc="3409000F">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CED6885"/>
    <w:multiLevelType w:val="hybridMultilevel"/>
    <w:tmpl w:val="E21A8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D66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4422C"/>
    <w:multiLevelType w:val="hybridMultilevel"/>
    <w:tmpl w:val="A6ACB8B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ED3D60"/>
    <w:multiLevelType w:val="hybridMultilevel"/>
    <w:tmpl w:val="89480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760F3E"/>
    <w:multiLevelType w:val="hybridMultilevel"/>
    <w:tmpl w:val="C4CE99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F814C0"/>
    <w:multiLevelType w:val="hybridMultilevel"/>
    <w:tmpl w:val="9A3EDD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5751244"/>
    <w:multiLevelType w:val="hybridMultilevel"/>
    <w:tmpl w:val="B612764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52BA8"/>
    <w:multiLevelType w:val="hybridMultilevel"/>
    <w:tmpl w:val="C48E033E"/>
    <w:lvl w:ilvl="0" w:tplc="1F7E699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A34FAF"/>
    <w:multiLevelType w:val="hybridMultilevel"/>
    <w:tmpl w:val="89B8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252E7"/>
    <w:multiLevelType w:val="hybridMultilevel"/>
    <w:tmpl w:val="826E5532"/>
    <w:lvl w:ilvl="0" w:tplc="F996A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D5861"/>
    <w:multiLevelType w:val="hybridMultilevel"/>
    <w:tmpl w:val="7D8E4BA4"/>
    <w:lvl w:ilvl="0" w:tplc="9BBAB9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106B0"/>
    <w:multiLevelType w:val="hybridMultilevel"/>
    <w:tmpl w:val="EF58C032"/>
    <w:lvl w:ilvl="0" w:tplc="47A4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012B38"/>
    <w:multiLevelType w:val="hybridMultilevel"/>
    <w:tmpl w:val="646CEA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21D2C"/>
    <w:multiLevelType w:val="hybridMultilevel"/>
    <w:tmpl w:val="1B4EC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451B1"/>
    <w:multiLevelType w:val="hybridMultilevel"/>
    <w:tmpl w:val="B7C80E08"/>
    <w:lvl w:ilvl="0" w:tplc="C14C2B70">
      <w:start w:val="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77E4D5E"/>
    <w:multiLevelType w:val="hybridMultilevel"/>
    <w:tmpl w:val="88F6BF9A"/>
    <w:lvl w:ilvl="0" w:tplc="A37420D4">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CD0995"/>
    <w:multiLevelType w:val="hybridMultilevel"/>
    <w:tmpl w:val="2C704C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429C5"/>
    <w:multiLevelType w:val="hybridMultilevel"/>
    <w:tmpl w:val="B918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6120B"/>
    <w:multiLevelType w:val="hybridMultilevel"/>
    <w:tmpl w:val="34ECA9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1150A"/>
    <w:multiLevelType w:val="hybridMultilevel"/>
    <w:tmpl w:val="782CA8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221CB"/>
    <w:multiLevelType w:val="hybridMultilevel"/>
    <w:tmpl w:val="D8ACD5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648C4"/>
    <w:multiLevelType w:val="hybridMultilevel"/>
    <w:tmpl w:val="373A1E42"/>
    <w:lvl w:ilvl="0" w:tplc="4C3040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0473C"/>
    <w:multiLevelType w:val="hybridMultilevel"/>
    <w:tmpl w:val="FE1077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B3F28"/>
    <w:multiLevelType w:val="hybridMultilevel"/>
    <w:tmpl w:val="3F24A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4"/>
  </w:num>
  <w:num w:numId="4">
    <w:abstractNumId w:val="18"/>
  </w:num>
  <w:num w:numId="5">
    <w:abstractNumId w:val="9"/>
  </w:num>
  <w:num w:numId="6">
    <w:abstractNumId w:val="5"/>
  </w:num>
  <w:num w:numId="7">
    <w:abstractNumId w:val="27"/>
  </w:num>
  <w:num w:numId="8">
    <w:abstractNumId w:val="30"/>
  </w:num>
  <w:num w:numId="9">
    <w:abstractNumId w:val="10"/>
  </w:num>
  <w:num w:numId="10">
    <w:abstractNumId w:val="3"/>
  </w:num>
  <w:num w:numId="11">
    <w:abstractNumId w:val="32"/>
  </w:num>
  <w:num w:numId="12">
    <w:abstractNumId w:val="31"/>
  </w:num>
  <w:num w:numId="13">
    <w:abstractNumId w:val="21"/>
  </w:num>
  <w:num w:numId="14">
    <w:abstractNumId w:val="1"/>
  </w:num>
  <w:num w:numId="15">
    <w:abstractNumId w:val="29"/>
  </w:num>
  <w:num w:numId="16">
    <w:abstractNumId w:val="17"/>
  </w:num>
  <w:num w:numId="17">
    <w:abstractNumId w:val="6"/>
  </w:num>
  <w:num w:numId="18">
    <w:abstractNumId w:val="13"/>
  </w:num>
  <w:num w:numId="19">
    <w:abstractNumId w:val="22"/>
  </w:num>
  <w:num w:numId="20">
    <w:abstractNumId w:val="8"/>
  </w:num>
  <w:num w:numId="21">
    <w:abstractNumId w:val="25"/>
  </w:num>
  <w:num w:numId="22">
    <w:abstractNumId w:val="19"/>
  </w:num>
  <w:num w:numId="23">
    <w:abstractNumId w:val="11"/>
  </w:num>
  <w:num w:numId="24">
    <w:abstractNumId w:val="33"/>
  </w:num>
  <w:num w:numId="25">
    <w:abstractNumId w:val="28"/>
  </w:num>
  <w:num w:numId="26">
    <w:abstractNumId w:val="23"/>
  </w:num>
  <w:num w:numId="27">
    <w:abstractNumId w:val="0"/>
  </w:num>
  <w:num w:numId="28">
    <w:abstractNumId w:val="12"/>
  </w:num>
  <w:num w:numId="29">
    <w:abstractNumId w:val="24"/>
  </w:num>
  <w:num w:numId="30">
    <w:abstractNumId w:val="15"/>
  </w:num>
  <w:num w:numId="31">
    <w:abstractNumId w:val="34"/>
  </w:num>
  <w:num w:numId="32">
    <w:abstractNumId w:val="7"/>
  </w:num>
  <w:num w:numId="33">
    <w:abstractNumId w:val="14"/>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Dwicssu70MnP+QZE/zNtoexxSsWOToST1AEWL69Lnf6KetSvCPbBOARbXm/KtUU4y7llm01Y9xEk18XNWEDN8w==" w:salt="D++4zsqXZvrAI4gDgm+S+Q=="/>
  <w:defaultTabStop w:val="432"/>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DD4D5A"/>
    <w:rsid w:val="00000458"/>
    <w:rsid w:val="000017B7"/>
    <w:rsid w:val="00002817"/>
    <w:rsid w:val="0000416B"/>
    <w:rsid w:val="00004A26"/>
    <w:rsid w:val="00005C46"/>
    <w:rsid w:val="00006892"/>
    <w:rsid w:val="00007BB7"/>
    <w:rsid w:val="000109B7"/>
    <w:rsid w:val="000177FB"/>
    <w:rsid w:val="000179A4"/>
    <w:rsid w:val="00025935"/>
    <w:rsid w:val="00025E70"/>
    <w:rsid w:val="00027F5B"/>
    <w:rsid w:val="00037030"/>
    <w:rsid w:val="0003718D"/>
    <w:rsid w:val="00037A4B"/>
    <w:rsid w:val="00037AE7"/>
    <w:rsid w:val="000409F9"/>
    <w:rsid w:val="00040AA3"/>
    <w:rsid w:val="000411BB"/>
    <w:rsid w:val="00043A62"/>
    <w:rsid w:val="00045DD8"/>
    <w:rsid w:val="00047BD0"/>
    <w:rsid w:val="000535F9"/>
    <w:rsid w:val="00053F08"/>
    <w:rsid w:val="00055DF1"/>
    <w:rsid w:val="0005644F"/>
    <w:rsid w:val="000612A1"/>
    <w:rsid w:val="0006163A"/>
    <w:rsid w:val="000618DC"/>
    <w:rsid w:val="00061902"/>
    <w:rsid w:val="00064677"/>
    <w:rsid w:val="00070738"/>
    <w:rsid w:val="00081167"/>
    <w:rsid w:val="000874C0"/>
    <w:rsid w:val="00095370"/>
    <w:rsid w:val="00096637"/>
    <w:rsid w:val="000A3862"/>
    <w:rsid w:val="000A4D5D"/>
    <w:rsid w:val="000A58EA"/>
    <w:rsid w:val="000A592F"/>
    <w:rsid w:val="000A7566"/>
    <w:rsid w:val="000B0C03"/>
    <w:rsid w:val="000B17D5"/>
    <w:rsid w:val="000B2567"/>
    <w:rsid w:val="000B2BE9"/>
    <w:rsid w:val="000B3405"/>
    <w:rsid w:val="000B6C66"/>
    <w:rsid w:val="000B7232"/>
    <w:rsid w:val="000C0FE1"/>
    <w:rsid w:val="000C12C3"/>
    <w:rsid w:val="000C3C55"/>
    <w:rsid w:val="000C58C7"/>
    <w:rsid w:val="000C7120"/>
    <w:rsid w:val="000D1A25"/>
    <w:rsid w:val="000D341F"/>
    <w:rsid w:val="000E1A02"/>
    <w:rsid w:val="000E22B0"/>
    <w:rsid w:val="000E553A"/>
    <w:rsid w:val="000E686E"/>
    <w:rsid w:val="000E758F"/>
    <w:rsid w:val="000F3829"/>
    <w:rsid w:val="000F52DE"/>
    <w:rsid w:val="000F5D53"/>
    <w:rsid w:val="0010278C"/>
    <w:rsid w:val="0010501B"/>
    <w:rsid w:val="00106D31"/>
    <w:rsid w:val="0011410A"/>
    <w:rsid w:val="00115618"/>
    <w:rsid w:val="0011688C"/>
    <w:rsid w:val="0012056D"/>
    <w:rsid w:val="0012093D"/>
    <w:rsid w:val="00131160"/>
    <w:rsid w:val="0013410F"/>
    <w:rsid w:val="00136FD0"/>
    <w:rsid w:val="001412D5"/>
    <w:rsid w:val="0015152C"/>
    <w:rsid w:val="00151E23"/>
    <w:rsid w:val="0015402C"/>
    <w:rsid w:val="00154247"/>
    <w:rsid w:val="0016046F"/>
    <w:rsid w:val="0016357F"/>
    <w:rsid w:val="00164575"/>
    <w:rsid w:val="001653AA"/>
    <w:rsid w:val="00167306"/>
    <w:rsid w:val="00177025"/>
    <w:rsid w:val="00177528"/>
    <w:rsid w:val="00177A8B"/>
    <w:rsid w:val="001818F9"/>
    <w:rsid w:val="00183016"/>
    <w:rsid w:val="001830E6"/>
    <w:rsid w:val="00183327"/>
    <w:rsid w:val="00183718"/>
    <w:rsid w:val="00186CEA"/>
    <w:rsid w:val="001871D2"/>
    <w:rsid w:val="00194105"/>
    <w:rsid w:val="001961AC"/>
    <w:rsid w:val="001A029D"/>
    <w:rsid w:val="001A59F4"/>
    <w:rsid w:val="001B424B"/>
    <w:rsid w:val="001B4C18"/>
    <w:rsid w:val="001B518D"/>
    <w:rsid w:val="001B7754"/>
    <w:rsid w:val="001B77F0"/>
    <w:rsid w:val="001C2A85"/>
    <w:rsid w:val="001C3AAE"/>
    <w:rsid w:val="001C4709"/>
    <w:rsid w:val="001D0CA7"/>
    <w:rsid w:val="001D2EDA"/>
    <w:rsid w:val="001E082C"/>
    <w:rsid w:val="001F44F3"/>
    <w:rsid w:val="001F7A24"/>
    <w:rsid w:val="00200BDE"/>
    <w:rsid w:val="00200F55"/>
    <w:rsid w:val="00210FCF"/>
    <w:rsid w:val="00211430"/>
    <w:rsid w:val="002129DB"/>
    <w:rsid w:val="00220067"/>
    <w:rsid w:val="00221187"/>
    <w:rsid w:val="0022135F"/>
    <w:rsid w:val="00223B08"/>
    <w:rsid w:val="00224DA5"/>
    <w:rsid w:val="00225323"/>
    <w:rsid w:val="00225782"/>
    <w:rsid w:val="002301A9"/>
    <w:rsid w:val="002302A5"/>
    <w:rsid w:val="0023032C"/>
    <w:rsid w:val="00230626"/>
    <w:rsid w:val="00235AF4"/>
    <w:rsid w:val="002367AD"/>
    <w:rsid w:val="0023722D"/>
    <w:rsid w:val="00240041"/>
    <w:rsid w:val="00240DEE"/>
    <w:rsid w:val="00242252"/>
    <w:rsid w:val="002448FB"/>
    <w:rsid w:val="00244D74"/>
    <w:rsid w:val="00244F86"/>
    <w:rsid w:val="002455DB"/>
    <w:rsid w:val="00252949"/>
    <w:rsid w:val="002536B2"/>
    <w:rsid w:val="0025407E"/>
    <w:rsid w:val="00256C58"/>
    <w:rsid w:val="002573AF"/>
    <w:rsid w:val="00261769"/>
    <w:rsid w:val="00264DC2"/>
    <w:rsid w:val="00266FD1"/>
    <w:rsid w:val="00274EA1"/>
    <w:rsid w:val="00276C34"/>
    <w:rsid w:val="00276F86"/>
    <w:rsid w:val="0027720F"/>
    <w:rsid w:val="002818CB"/>
    <w:rsid w:val="002823C1"/>
    <w:rsid w:val="002910AF"/>
    <w:rsid w:val="00291135"/>
    <w:rsid w:val="0029135F"/>
    <w:rsid w:val="00293AB9"/>
    <w:rsid w:val="002A223B"/>
    <w:rsid w:val="002B105B"/>
    <w:rsid w:val="002B2CE1"/>
    <w:rsid w:val="002B2DCE"/>
    <w:rsid w:val="002B5F30"/>
    <w:rsid w:val="002C00F8"/>
    <w:rsid w:val="002C01E3"/>
    <w:rsid w:val="002C0468"/>
    <w:rsid w:val="002C0B12"/>
    <w:rsid w:val="002C0D35"/>
    <w:rsid w:val="002C173E"/>
    <w:rsid w:val="002C287F"/>
    <w:rsid w:val="002C4128"/>
    <w:rsid w:val="002C5730"/>
    <w:rsid w:val="002C6A10"/>
    <w:rsid w:val="002D077C"/>
    <w:rsid w:val="002D3FCD"/>
    <w:rsid w:val="002D4949"/>
    <w:rsid w:val="002D4D31"/>
    <w:rsid w:val="002D50FE"/>
    <w:rsid w:val="002D7459"/>
    <w:rsid w:val="002E1509"/>
    <w:rsid w:val="002E2F19"/>
    <w:rsid w:val="002E6E36"/>
    <w:rsid w:val="002F001E"/>
    <w:rsid w:val="002F0D07"/>
    <w:rsid w:val="002F110D"/>
    <w:rsid w:val="002F12F0"/>
    <w:rsid w:val="002F4E80"/>
    <w:rsid w:val="002F4E91"/>
    <w:rsid w:val="0030414C"/>
    <w:rsid w:val="00305E24"/>
    <w:rsid w:val="00307B63"/>
    <w:rsid w:val="00310817"/>
    <w:rsid w:val="00320AA6"/>
    <w:rsid w:val="0032128E"/>
    <w:rsid w:val="003240C6"/>
    <w:rsid w:val="00326EE6"/>
    <w:rsid w:val="00327D93"/>
    <w:rsid w:val="00327F47"/>
    <w:rsid w:val="0033318F"/>
    <w:rsid w:val="0033391D"/>
    <w:rsid w:val="00334216"/>
    <w:rsid w:val="00334E2F"/>
    <w:rsid w:val="003437DD"/>
    <w:rsid w:val="00343DC0"/>
    <w:rsid w:val="00350F1A"/>
    <w:rsid w:val="00352A68"/>
    <w:rsid w:val="0035559A"/>
    <w:rsid w:val="0035601B"/>
    <w:rsid w:val="00362A71"/>
    <w:rsid w:val="00365C54"/>
    <w:rsid w:val="003716C7"/>
    <w:rsid w:val="00373894"/>
    <w:rsid w:val="00373C99"/>
    <w:rsid w:val="00374D34"/>
    <w:rsid w:val="0038074E"/>
    <w:rsid w:val="003873E3"/>
    <w:rsid w:val="00391B75"/>
    <w:rsid w:val="0039373D"/>
    <w:rsid w:val="003952D2"/>
    <w:rsid w:val="00396D56"/>
    <w:rsid w:val="003A0326"/>
    <w:rsid w:val="003A14E0"/>
    <w:rsid w:val="003A5FB0"/>
    <w:rsid w:val="003B0605"/>
    <w:rsid w:val="003B164C"/>
    <w:rsid w:val="003B2DEA"/>
    <w:rsid w:val="003B6A34"/>
    <w:rsid w:val="003C399F"/>
    <w:rsid w:val="003C48E4"/>
    <w:rsid w:val="003C6EF5"/>
    <w:rsid w:val="003C7996"/>
    <w:rsid w:val="003D0D05"/>
    <w:rsid w:val="003D1F62"/>
    <w:rsid w:val="003D4A9C"/>
    <w:rsid w:val="003E098A"/>
    <w:rsid w:val="003E17EF"/>
    <w:rsid w:val="003E2097"/>
    <w:rsid w:val="003E55BB"/>
    <w:rsid w:val="003E74D5"/>
    <w:rsid w:val="003F0A5E"/>
    <w:rsid w:val="003F15F5"/>
    <w:rsid w:val="003F28EF"/>
    <w:rsid w:val="003F6B23"/>
    <w:rsid w:val="003F72A8"/>
    <w:rsid w:val="003F7640"/>
    <w:rsid w:val="004008A4"/>
    <w:rsid w:val="00403137"/>
    <w:rsid w:val="0040670B"/>
    <w:rsid w:val="004074CA"/>
    <w:rsid w:val="00412858"/>
    <w:rsid w:val="00423560"/>
    <w:rsid w:val="004267F9"/>
    <w:rsid w:val="004275BF"/>
    <w:rsid w:val="00427D1D"/>
    <w:rsid w:val="00430739"/>
    <w:rsid w:val="004400F7"/>
    <w:rsid w:val="00440EF7"/>
    <w:rsid w:val="00444781"/>
    <w:rsid w:val="0044649C"/>
    <w:rsid w:val="0044713D"/>
    <w:rsid w:val="00451A68"/>
    <w:rsid w:val="00451CEF"/>
    <w:rsid w:val="00454317"/>
    <w:rsid w:val="00454328"/>
    <w:rsid w:val="00456270"/>
    <w:rsid w:val="00460474"/>
    <w:rsid w:val="004604CC"/>
    <w:rsid w:val="00460715"/>
    <w:rsid w:val="004610C4"/>
    <w:rsid w:val="0046246F"/>
    <w:rsid w:val="00462881"/>
    <w:rsid w:val="00463FB8"/>
    <w:rsid w:val="004766D5"/>
    <w:rsid w:val="00480B29"/>
    <w:rsid w:val="00484B56"/>
    <w:rsid w:val="004911B3"/>
    <w:rsid w:val="00492F5F"/>
    <w:rsid w:val="004A2216"/>
    <w:rsid w:val="004A4721"/>
    <w:rsid w:val="004B18A9"/>
    <w:rsid w:val="004B2E3C"/>
    <w:rsid w:val="004B62B0"/>
    <w:rsid w:val="004C304F"/>
    <w:rsid w:val="004D10A1"/>
    <w:rsid w:val="004D1E6F"/>
    <w:rsid w:val="004D2A39"/>
    <w:rsid w:val="004E2AB6"/>
    <w:rsid w:val="004E38C8"/>
    <w:rsid w:val="004E3E8C"/>
    <w:rsid w:val="004E3F8D"/>
    <w:rsid w:val="004F4525"/>
    <w:rsid w:val="004F57E6"/>
    <w:rsid w:val="004F6456"/>
    <w:rsid w:val="004F6E44"/>
    <w:rsid w:val="00505E4A"/>
    <w:rsid w:val="00506A52"/>
    <w:rsid w:val="00506BF8"/>
    <w:rsid w:val="00507692"/>
    <w:rsid w:val="00507BDC"/>
    <w:rsid w:val="00511C64"/>
    <w:rsid w:val="00517013"/>
    <w:rsid w:val="0052050C"/>
    <w:rsid w:val="00524245"/>
    <w:rsid w:val="00526D22"/>
    <w:rsid w:val="00531C00"/>
    <w:rsid w:val="00533799"/>
    <w:rsid w:val="00533DBD"/>
    <w:rsid w:val="00534135"/>
    <w:rsid w:val="00534D18"/>
    <w:rsid w:val="00535D93"/>
    <w:rsid w:val="0053758F"/>
    <w:rsid w:val="00540A80"/>
    <w:rsid w:val="005426A1"/>
    <w:rsid w:val="00546E5B"/>
    <w:rsid w:val="005549E9"/>
    <w:rsid w:val="00555055"/>
    <w:rsid w:val="0055570B"/>
    <w:rsid w:val="0055654D"/>
    <w:rsid w:val="00557007"/>
    <w:rsid w:val="00562C3C"/>
    <w:rsid w:val="0056549E"/>
    <w:rsid w:val="005713E9"/>
    <w:rsid w:val="00574485"/>
    <w:rsid w:val="005753DC"/>
    <w:rsid w:val="0058164E"/>
    <w:rsid w:val="00586708"/>
    <w:rsid w:val="0059001E"/>
    <w:rsid w:val="0059030F"/>
    <w:rsid w:val="005918DC"/>
    <w:rsid w:val="00595CFC"/>
    <w:rsid w:val="0059686C"/>
    <w:rsid w:val="005A0B1A"/>
    <w:rsid w:val="005A33D8"/>
    <w:rsid w:val="005A393C"/>
    <w:rsid w:val="005A4086"/>
    <w:rsid w:val="005A7473"/>
    <w:rsid w:val="005B1670"/>
    <w:rsid w:val="005B2F01"/>
    <w:rsid w:val="005B6BC8"/>
    <w:rsid w:val="005B755C"/>
    <w:rsid w:val="005B7932"/>
    <w:rsid w:val="005C01FB"/>
    <w:rsid w:val="005C0942"/>
    <w:rsid w:val="005C113E"/>
    <w:rsid w:val="005C3725"/>
    <w:rsid w:val="005C4A0D"/>
    <w:rsid w:val="005C52C7"/>
    <w:rsid w:val="005C5E94"/>
    <w:rsid w:val="005C6113"/>
    <w:rsid w:val="005D03D4"/>
    <w:rsid w:val="005D1E82"/>
    <w:rsid w:val="005D4B22"/>
    <w:rsid w:val="005D578A"/>
    <w:rsid w:val="005D6F2B"/>
    <w:rsid w:val="005E128B"/>
    <w:rsid w:val="005E18AC"/>
    <w:rsid w:val="005E23B2"/>
    <w:rsid w:val="005E4339"/>
    <w:rsid w:val="005E49FE"/>
    <w:rsid w:val="005E506A"/>
    <w:rsid w:val="005F016F"/>
    <w:rsid w:val="005F66FB"/>
    <w:rsid w:val="0061214A"/>
    <w:rsid w:val="00617506"/>
    <w:rsid w:val="00617BBE"/>
    <w:rsid w:val="00617D94"/>
    <w:rsid w:val="0062006F"/>
    <w:rsid w:val="00620E1C"/>
    <w:rsid w:val="00622282"/>
    <w:rsid w:val="006232C5"/>
    <w:rsid w:val="00623824"/>
    <w:rsid w:val="00624025"/>
    <w:rsid w:val="00624EE0"/>
    <w:rsid w:val="00625072"/>
    <w:rsid w:val="006352B3"/>
    <w:rsid w:val="006361B8"/>
    <w:rsid w:val="00637879"/>
    <w:rsid w:val="00641882"/>
    <w:rsid w:val="00641D62"/>
    <w:rsid w:val="006475AB"/>
    <w:rsid w:val="006524F7"/>
    <w:rsid w:val="0065251A"/>
    <w:rsid w:val="006527B5"/>
    <w:rsid w:val="00654857"/>
    <w:rsid w:val="006573DF"/>
    <w:rsid w:val="00657EBA"/>
    <w:rsid w:val="006603AF"/>
    <w:rsid w:val="0066231A"/>
    <w:rsid w:val="006646CA"/>
    <w:rsid w:val="00665B56"/>
    <w:rsid w:val="00665FEB"/>
    <w:rsid w:val="00672628"/>
    <w:rsid w:val="00672ABA"/>
    <w:rsid w:val="00675C92"/>
    <w:rsid w:val="006767E5"/>
    <w:rsid w:val="0068145D"/>
    <w:rsid w:val="00681C9B"/>
    <w:rsid w:val="00682F27"/>
    <w:rsid w:val="00683D30"/>
    <w:rsid w:val="00687D5E"/>
    <w:rsid w:val="00694ACA"/>
    <w:rsid w:val="006953CD"/>
    <w:rsid w:val="00697112"/>
    <w:rsid w:val="00697664"/>
    <w:rsid w:val="00697B9E"/>
    <w:rsid w:val="006A2327"/>
    <w:rsid w:val="006A27BD"/>
    <w:rsid w:val="006A531F"/>
    <w:rsid w:val="006A77DE"/>
    <w:rsid w:val="006A7D6E"/>
    <w:rsid w:val="006B057E"/>
    <w:rsid w:val="006B2C1A"/>
    <w:rsid w:val="006B5876"/>
    <w:rsid w:val="006B73F1"/>
    <w:rsid w:val="006C0490"/>
    <w:rsid w:val="006C1953"/>
    <w:rsid w:val="006C332F"/>
    <w:rsid w:val="006C4019"/>
    <w:rsid w:val="006C4A31"/>
    <w:rsid w:val="006C5FD3"/>
    <w:rsid w:val="006C6C0A"/>
    <w:rsid w:val="006C7FEC"/>
    <w:rsid w:val="006D4589"/>
    <w:rsid w:val="006D4F59"/>
    <w:rsid w:val="006D52C6"/>
    <w:rsid w:val="006D6737"/>
    <w:rsid w:val="006E035B"/>
    <w:rsid w:val="006E0C59"/>
    <w:rsid w:val="006E195C"/>
    <w:rsid w:val="006E5D4A"/>
    <w:rsid w:val="006E75E4"/>
    <w:rsid w:val="006F1359"/>
    <w:rsid w:val="006F49FB"/>
    <w:rsid w:val="006F6B91"/>
    <w:rsid w:val="006F74BB"/>
    <w:rsid w:val="0070064B"/>
    <w:rsid w:val="007014C3"/>
    <w:rsid w:val="00701C7F"/>
    <w:rsid w:val="0070422F"/>
    <w:rsid w:val="007050CB"/>
    <w:rsid w:val="00705F8D"/>
    <w:rsid w:val="0071142E"/>
    <w:rsid w:val="007147E9"/>
    <w:rsid w:val="007162F1"/>
    <w:rsid w:val="007214C7"/>
    <w:rsid w:val="00723662"/>
    <w:rsid w:val="007248DE"/>
    <w:rsid w:val="007253D5"/>
    <w:rsid w:val="00731DC2"/>
    <w:rsid w:val="00731E0D"/>
    <w:rsid w:val="00732797"/>
    <w:rsid w:val="00737386"/>
    <w:rsid w:val="007415CD"/>
    <w:rsid w:val="007449CC"/>
    <w:rsid w:val="00746AE6"/>
    <w:rsid w:val="007501AD"/>
    <w:rsid w:val="00750348"/>
    <w:rsid w:val="00750DE3"/>
    <w:rsid w:val="00751EFB"/>
    <w:rsid w:val="00753317"/>
    <w:rsid w:val="00755C04"/>
    <w:rsid w:val="0076135D"/>
    <w:rsid w:val="007626AE"/>
    <w:rsid w:val="00762AEE"/>
    <w:rsid w:val="007640B4"/>
    <w:rsid w:val="00765DE0"/>
    <w:rsid w:val="007664C5"/>
    <w:rsid w:val="00770A1B"/>
    <w:rsid w:val="0077441E"/>
    <w:rsid w:val="00774901"/>
    <w:rsid w:val="00774B7F"/>
    <w:rsid w:val="007803F5"/>
    <w:rsid w:val="0078183E"/>
    <w:rsid w:val="00782A84"/>
    <w:rsid w:val="0078357C"/>
    <w:rsid w:val="00783A97"/>
    <w:rsid w:val="00784C7D"/>
    <w:rsid w:val="007876EA"/>
    <w:rsid w:val="00790133"/>
    <w:rsid w:val="00790F99"/>
    <w:rsid w:val="00791208"/>
    <w:rsid w:val="00791E89"/>
    <w:rsid w:val="00796DAD"/>
    <w:rsid w:val="007A3471"/>
    <w:rsid w:val="007A4F0B"/>
    <w:rsid w:val="007A52B5"/>
    <w:rsid w:val="007B1200"/>
    <w:rsid w:val="007B3F62"/>
    <w:rsid w:val="007B4FC6"/>
    <w:rsid w:val="007B5B16"/>
    <w:rsid w:val="007B5EE3"/>
    <w:rsid w:val="007B67B5"/>
    <w:rsid w:val="007B70FF"/>
    <w:rsid w:val="007C0253"/>
    <w:rsid w:val="007C077A"/>
    <w:rsid w:val="007C2513"/>
    <w:rsid w:val="007C3011"/>
    <w:rsid w:val="007C38A9"/>
    <w:rsid w:val="007C57D4"/>
    <w:rsid w:val="007D2C58"/>
    <w:rsid w:val="007D4211"/>
    <w:rsid w:val="007D7B8B"/>
    <w:rsid w:val="007E58D2"/>
    <w:rsid w:val="007E77B4"/>
    <w:rsid w:val="007F13EC"/>
    <w:rsid w:val="007F37C7"/>
    <w:rsid w:val="007F3B39"/>
    <w:rsid w:val="007F6AB2"/>
    <w:rsid w:val="007F7AED"/>
    <w:rsid w:val="007F7C88"/>
    <w:rsid w:val="00800F1C"/>
    <w:rsid w:val="0080363E"/>
    <w:rsid w:val="00805B32"/>
    <w:rsid w:val="00817874"/>
    <w:rsid w:val="0082118F"/>
    <w:rsid w:val="00821352"/>
    <w:rsid w:val="0082441D"/>
    <w:rsid w:val="00825D91"/>
    <w:rsid w:val="00827F09"/>
    <w:rsid w:val="00831EE7"/>
    <w:rsid w:val="00832AD6"/>
    <w:rsid w:val="00834067"/>
    <w:rsid w:val="00834D8A"/>
    <w:rsid w:val="008360C2"/>
    <w:rsid w:val="00844998"/>
    <w:rsid w:val="008462D1"/>
    <w:rsid w:val="00852E1E"/>
    <w:rsid w:val="00854067"/>
    <w:rsid w:val="00857C8B"/>
    <w:rsid w:val="0086057A"/>
    <w:rsid w:val="0086216E"/>
    <w:rsid w:val="00863C76"/>
    <w:rsid w:val="00864D83"/>
    <w:rsid w:val="0086749B"/>
    <w:rsid w:val="00872E02"/>
    <w:rsid w:val="00875C65"/>
    <w:rsid w:val="00875CB7"/>
    <w:rsid w:val="008766E9"/>
    <w:rsid w:val="00876F7F"/>
    <w:rsid w:val="008819C5"/>
    <w:rsid w:val="008834E7"/>
    <w:rsid w:val="008865A7"/>
    <w:rsid w:val="00891A27"/>
    <w:rsid w:val="008940CC"/>
    <w:rsid w:val="008947BE"/>
    <w:rsid w:val="00894EB2"/>
    <w:rsid w:val="008974FF"/>
    <w:rsid w:val="008A18BA"/>
    <w:rsid w:val="008A22ED"/>
    <w:rsid w:val="008A26D3"/>
    <w:rsid w:val="008A2AA8"/>
    <w:rsid w:val="008A43B8"/>
    <w:rsid w:val="008A51E7"/>
    <w:rsid w:val="008A51FC"/>
    <w:rsid w:val="008A695E"/>
    <w:rsid w:val="008A7D92"/>
    <w:rsid w:val="008B408B"/>
    <w:rsid w:val="008B4B6D"/>
    <w:rsid w:val="008B4FFA"/>
    <w:rsid w:val="008B54F8"/>
    <w:rsid w:val="008B6769"/>
    <w:rsid w:val="008B75E1"/>
    <w:rsid w:val="008C057C"/>
    <w:rsid w:val="008C1271"/>
    <w:rsid w:val="008C353F"/>
    <w:rsid w:val="008C6C1F"/>
    <w:rsid w:val="008D5F64"/>
    <w:rsid w:val="008E03CB"/>
    <w:rsid w:val="008E27ED"/>
    <w:rsid w:val="008E64A8"/>
    <w:rsid w:val="008F0E78"/>
    <w:rsid w:val="008F4328"/>
    <w:rsid w:val="008F4840"/>
    <w:rsid w:val="008F541D"/>
    <w:rsid w:val="008F6E79"/>
    <w:rsid w:val="008F7DDC"/>
    <w:rsid w:val="0090075B"/>
    <w:rsid w:val="00901FF3"/>
    <w:rsid w:val="00904481"/>
    <w:rsid w:val="009055B6"/>
    <w:rsid w:val="00907776"/>
    <w:rsid w:val="00915764"/>
    <w:rsid w:val="00922CD0"/>
    <w:rsid w:val="00924C36"/>
    <w:rsid w:val="00927002"/>
    <w:rsid w:val="00927028"/>
    <w:rsid w:val="00930BED"/>
    <w:rsid w:val="00931E79"/>
    <w:rsid w:val="009326CF"/>
    <w:rsid w:val="009327DE"/>
    <w:rsid w:val="00932870"/>
    <w:rsid w:val="0093289E"/>
    <w:rsid w:val="00933B48"/>
    <w:rsid w:val="0093516F"/>
    <w:rsid w:val="009353C7"/>
    <w:rsid w:val="00936110"/>
    <w:rsid w:val="00937930"/>
    <w:rsid w:val="00940ED2"/>
    <w:rsid w:val="009449A9"/>
    <w:rsid w:val="00945B5B"/>
    <w:rsid w:val="00945F06"/>
    <w:rsid w:val="00952D1A"/>
    <w:rsid w:val="00953077"/>
    <w:rsid w:val="009536F5"/>
    <w:rsid w:val="0096023E"/>
    <w:rsid w:val="00962CD9"/>
    <w:rsid w:val="00966027"/>
    <w:rsid w:val="00971CFB"/>
    <w:rsid w:val="0097231C"/>
    <w:rsid w:val="009729B6"/>
    <w:rsid w:val="00973688"/>
    <w:rsid w:val="00980AB1"/>
    <w:rsid w:val="00982360"/>
    <w:rsid w:val="009828A7"/>
    <w:rsid w:val="00984A3F"/>
    <w:rsid w:val="009850DD"/>
    <w:rsid w:val="0098604A"/>
    <w:rsid w:val="009872BD"/>
    <w:rsid w:val="00991AE1"/>
    <w:rsid w:val="00991DEF"/>
    <w:rsid w:val="00993062"/>
    <w:rsid w:val="00994D6C"/>
    <w:rsid w:val="00995DCC"/>
    <w:rsid w:val="009A03D5"/>
    <w:rsid w:val="009A03DA"/>
    <w:rsid w:val="009A063C"/>
    <w:rsid w:val="009A3E37"/>
    <w:rsid w:val="009A704F"/>
    <w:rsid w:val="009B0413"/>
    <w:rsid w:val="009B06DA"/>
    <w:rsid w:val="009B1CED"/>
    <w:rsid w:val="009B2DB3"/>
    <w:rsid w:val="009B3E84"/>
    <w:rsid w:val="009B40BD"/>
    <w:rsid w:val="009B42F2"/>
    <w:rsid w:val="009B6138"/>
    <w:rsid w:val="009C610E"/>
    <w:rsid w:val="009C6A2D"/>
    <w:rsid w:val="009D0352"/>
    <w:rsid w:val="009D272F"/>
    <w:rsid w:val="009D3575"/>
    <w:rsid w:val="009D6586"/>
    <w:rsid w:val="009D6875"/>
    <w:rsid w:val="009E3556"/>
    <w:rsid w:val="009E5C1B"/>
    <w:rsid w:val="009E745D"/>
    <w:rsid w:val="009F298E"/>
    <w:rsid w:val="009F5956"/>
    <w:rsid w:val="009F6547"/>
    <w:rsid w:val="009F6620"/>
    <w:rsid w:val="009F6FE3"/>
    <w:rsid w:val="009F7355"/>
    <w:rsid w:val="00A04483"/>
    <w:rsid w:val="00A102D5"/>
    <w:rsid w:val="00A118CB"/>
    <w:rsid w:val="00A121DC"/>
    <w:rsid w:val="00A121E3"/>
    <w:rsid w:val="00A14A91"/>
    <w:rsid w:val="00A14D50"/>
    <w:rsid w:val="00A16959"/>
    <w:rsid w:val="00A214FE"/>
    <w:rsid w:val="00A22BE0"/>
    <w:rsid w:val="00A2497F"/>
    <w:rsid w:val="00A24FED"/>
    <w:rsid w:val="00A26EC6"/>
    <w:rsid w:val="00A27618"/>
    <w:rsid w:val="00A30FF2"/>
    <w:rsid w:val="00A33BB9"/>
    <w:rsid w:val="00A3791D"/>
    <w:rsid w:val="00A40982"/>
    <w:rsid w:val="00A41364"/>
    <w:rsid w:val="00A44C57"/>
    <w:rsid w:val="00A45525"/>
    <w:rsid w:val="00A45F91"/>
    <w:rsid w:val="00A471D3"/>
    <w:rsid w:val="00A52150"/>
    <w:rsid w:val="00A62386"/>
    <w:rsid w:val="00A63106"/>
    <w:rsid w:val="00A65862"/>
    <w:rsid w:val="00A70259"/>
    <w:rsid w:val="00A70AE6"/>
    <w:rsid w:val="00A741C1"/>
    <w:rsid w:val="00A768FC"/>
    <w:rsid w:val="00A77A2C"/>
    <w:rsid w:val="00A87A24"/>
    <w:rsid w:val="00A91095"/>
    <w:rsid w:val="00AA2434"/>
    <w:rsid w:val="00AA494E"/>
    <w:rsid w:val="00AA688A"/>
    <w:rsid w:val="00AA692D"/>
    <w:rsid w:val="00AA7DC5"/>
    <w:rsid w:val="00AB2B36"/>
    <w:rsid w:val="00AB2C8E"/>
    <w:rsid w:val="00AB4F7E"/>
    <w:rsid w:val="00AB692A"/>
    <w:rsid w:val="00AB7F36"/>
    <w:rsid w:val="00AD1158"/>
    <w:rsid w:val="00AD2634"/>
    <w:rsid w:val="00AD5892"/>
    <w:rsid w:val="00AD59EE"/>
    <w:rsid w:val="00AD690D"/>
    <w:rsid w:val="00AE16C0"/>
    <w:rsid w:val="00AE7C44"/>
    <w:rsid w:val="00AF2A36"/>
    <w:rsid w:val="00AF2C5F"/>
    <w:rsid w:val="00AF60E4"/>
    <w:rsid w:val="00B04F1F"/>
    <w:rsid w:val="00B1056F"/>
    <w:rsid w:val="00B10BBD"/>
    <w:rsid w:val="00B125D5"/>
    <w:rsid w:val="00B1617C"/>
    <w:rsid w:val="00B16199"/>
    <w:rsid w:val="00B22C97"/>
    <w:rsid w:val="00B24FAF"/>
    <w:rsid w:val="00B30293"/>
    <w:rsid w:val="00B325F8"/>
    <w:rsid w:val="00B32E61"/>
    <w:rsid w:val="00B3355B"/>
    <w:rsid w:val="00B337FE"/>
    <w:rsid w:val="00B34289"/>
    <w:rsid w:val="00B34BA4"/>
    <w:rsid w:val="00B356C1"/>
    <w:rsid w:val="00B4347E"/>
    <w:rsid w:val="00B43D87"/>
    <w:rsid w:val="00B46F77"/>
    <w:rsid w:val="00B5019A"/>
    <w:rsid w:val="00B51130"/>
    <w:rsid w:val="00B5446B"/>
    <w:rsid w:val="00B546A6"/>
    <w:rsid w:val="00B54EF2"/>
    <w:rsid w:val="00B60402"/>
    <w:rsid w:val="00B60A2F"/>
    <w:rsid w:val="00B63274"/>
    <w:rsid w:val="00B656EB"/>
    <w:rsid w:val="00B65F13"/>
    <w:rsid w:val="00B66D11"/>
    <w:rsid w:val="00B70BF6"/>
    <w:rsid w:val="00B77489"/>
    <w:rsid w:val="00B77C9F"/>
    <w:rsid w:val="00B81FEC"/>
    <w:rsid w:val="00B83CFD"/>
    <w:rsid w:val="00B84249"/>
    <w:rsid w:val="00B854D9"/>
    <w:rsid w:val="00B87989"/>
    <w:rsid w:val="00B903FF"/>
    <w:rsid w:val="00B9371B"/>
    <w:rsid w:val="00B94CF2"/>
    <w:rsid w:val="00B96569"/>
    <w:rsid w:val="00B96F91"/>
    <w:rsid w:val="00B971D3"/>
    <w:rsid w:val="00B97F9A"/>
    <w:rsid w:val="00BA5C90"/>
    <w:rsid w:val="00BB104E"/>
    <w:rsid w:val="00BB173E"/>
    <w:rsid w:val="00BB3A5C"/>
    <w:rsid w:val="00BB6025"/>
    <w:rsid w:val="00BC0B6C"/>
    <w:rsid w:val="00BC2D05"/>
    <w:rsid w:val="00BC32CA"/>
    <w:rsid w:val="00BC3937"/>
    <w:rsid w:val="00BC40CF"/>
    <w:rsid w:val="00BC6A02"/>
    <w:rsid w:val="00BD37C6"/>
    <w:rsid w:val="00BD3938"/>
    <w:rsid w:val="00BE2766"/>
    <w:rsid w:val="00BE359B"/>
    <w:rsid w:val="00BE3B60"/>
    <w:rsid w:val="00BE647F"/>
    <w:rsid w:val="00BF0EBB"/>
    <w:rsid w:val="00BF165E"/>
    <w:rsid w:val="00BF5D6B"/>
    <w:rsid w:val="00C02393"/>
    <w:rsid w:val="00C04AEF"/>
    <w:rsid w:val="00C07106"/>
    <w:rsid w:val="00C11320"/>
    <w:rsid w:val="00C16FA0"/>
    <w:rsid w:val="00C17593"/>
    <w:rsid w:val="00C17A55"/>
    <w:rsid w:val="00C214B3"/>
    <w:rsid w:val="00C219D9"/>
    <w:rsid w:val="00C25314"/>
    <w:rsid w:val="00C27A23"/>
    <w:rsid w:val="00C42066"/>
    <w:rsid w:val="00C433A3"/>
    <w:rsid w:val="00C4352D"/>
    <w:rsid w:val="00C43A05"/>
    <w:rsid w:val="00C45526"/>
    <w:rsid w:val="00C45EAF"/>
    <w:rsid w:val="00C5510E"/>
    <w:rsid w:val="00C55EFE"/>
    <w:rsid w:val="00C56DA2"/>
    <w:rsid w:val="00C57998"/>
    <w:rsid w:val="00C60492"/>
    <w:rsid w:val="00C64972"/>
    <w:rsid w:val="00C649C1"/>
    <w:rsid w:val="00C80C40"/>
    <w:rsid w:val="00C8140E"/>
    <w:rsid w:val="00C82616"/>
    <w:rsid w:val="00C82E78"/>
    <w:rsid w:val="00C8387D"/>
    <w:rsid w:val="00C83D3C"/>
    <w:rsid w:val="00C85753"/>
    <w:rsid w:val="00C85A4E"/>
    <w:rsid w:val="00C87A81"/>
    <w:rsid w:val="00C90058"/>
    <w:rsid w:val="00C97052"/>
    <w:rsid w:val="00CA04B7"/>
    <w:rsid w:val="00CA1182"/>
    <w:rsid w:val="00CA59DF"/>
    <w:rsid w:val="00CA61C2"/>
    <w:rsid w:val="00CB0355"/>
    <w:rsid w:val="00CB21B5"/>
    <w:rsid w:val="00CB27E6"/>
    <w:rsid w:val="00CB465C"/>
    <w:rsid w:val="00CB4BF7"/>
    <w:rsid w:val="00CB4EE9"/>
    <w:rsid w:val="00CB70A7"/>
    <w:rsid w:val="00CC0D74"/>
    <w:rsid w:val="00CC0DFA"/>
    <w:rsid w:val="00CD1E72"/>
    <w:rsid w:val="00CD1EF7"/>
    <w:rsid w:val="00CD783F"/>
    <w:rsid w:val="00CE01F4"/>
    <w:rsid w:val="00CE2B96"/>
    <w:rsid w:val="00CE2C9C"/>
    <w:rsid w:val="00CE588F"/>
    <w:rsid w:val="00CE58B1"/>
    <w:rsid w:val="00CF0592"/>
    <w:rsid w:val="00CF787B"/>
    <w:rsid w:val="00D00514"/>
    <w:rsid w:val="00D0116A"/>
    <w:rsid w:val="00D05B67"/>
    <w:rsid w:val="00D11C2D"/>
    <w:rsid w:val="00D124A0"/>
    <w:rsid w:val="00D12B1F"/>
    <w:rsid w:val="00D12CCB"/>
    <w:rsid w:val="00D1439E"/>
    <w:rsid w:val="00D17016"/>
    <w:rsid w:val="00D27AFB"/>
    <w:rsid w:val="00D31644"/>
    <w:rsid w:val="00D3426E"/>
    <w:rsid w:val="00D34D46"/>
    <w:rsid w:val="00D36D21"/>
    <w:rsid w:val="00D3777E"/>
    <w:rsid w:val="00D41603"/>
    <w:rsid w:val="00D41E92"/>
    <w:rsid w:val="00D47C4F"/>
    <w:rsid w:val="00D53ABF"/>
    <w:rsid w:val="00D6466D"/>
    <w:rsid w:val="00D65C9A"/>
    <w:rsid w:val="00D67578"/>
    <w:rsid w:val="00D72857"/>
    <w:rsid w:val="00D72CF3"/>
    <w:rsid w:val="00D811F5"/>
    <w:rsid w:val="00D81295"/>
    <w:rsid w:val="00D81BA7"/>
    <w:rsid w:val="00D83370"/>
    <w:rsid w:val="00D9225D"/>
    <w:rsid w:val="00D92DC5"/>
    <w:rsid w:val="00D94B31"/>
    <w:rsid w:val="00DA0932"/>
    <w:rsid w:val="00DA2505"/>
    <w:rsid w:val="00DA2CEB"/>
    <w:rsid w:val="00DA2DFD"/>
    <w:rsid w:val="00DA4C2B"/>
    <w:rsid w:val="00DA5295"/>
    <w:rsid w:val="00DA61E0"/>
    <w:rsid w:val="00DA67EC"/>
    <w:rsid w:val="00DB407E"/>
    <w:rsid w:val="00DB5C84"/>
    <w:rsid w:val="00DB75CE"/>
    <w:rsid w:val="00DB7ECC"/>
    <w:rsid w:val="00DC00D8"/>
    <w:rsid w:val="00DC1440"/>
    <w:rsid w:val="00DC6AA1"/>
    <w:rsid w:val="00DD0A92"/>
    <w:rsid w:val="00DD183C"/>
    <w:rsid w:val="00DD1A45"/>
    <w:rsid w:val="00DD2084"/>
    <w:rsid w:val="00DD4D5A"/>
    <w:rsid w:val="00DE21CB"/>
    <w:rsid w:val="00DE7C45"/>
    <w:rsid w:val="00DF04FD"/>
    <w:rsid w:val="00DF4203"/>
    <w:rsid w:val="00E028A7"/>
    <w:rsid w:val="00E04972"/>
    <w:rsid w:val="00E12155"/>
    <w:rsid w:val="00E140CE"/>
    <w:rsid w:val="00E141C0"/>
    <w:rsid w:val="00E14469"/>
    <w:rsid w:val="00E16973"/>
    <w:rsid w:val="00E22BEC"/>
    <w:rsid w:val="00E24718"/>
    <w:rsid w:val="00E24AE9"/>
    <w:rsid w:val="00E24D90"/>
    <w:rsid w:val="00E30367"/>
    <w:rsid w:val="00E30A26"/>
    <w:rsid w:val="00E33655"/>
    <w:rsid w:val="00E34182"/>
    <w:rsid w:val="00E376F4"/>
    <w:rsid w:val="00E41B48"/>
    <w:rsid w:val="00E421D1"/>
    <w:rsid w:val="00E42238"/>
    <w:rsid w:val="00E42360"/>
    <w:rsid w:val="00E43BF9"/>
    <w:rsid w:val="00E445AC"/>
    <w:rsid w:val="00E5092E"/>
    <w:rsid w:val="00E52683"/>
    <w:rsid w:val="00E543EA"/>
    <w:rsid w:val="00E54926"/>
    <w:rsid w:val="00E564CC"/>
    <w:rsid w:val="00E61BED"/>
    <w:rsid w:val="00E6553F"/>
    <w:rsid w:val="00E65D7C"/>
    <w:rsid w:val="00E703B9"/>
    <w:rsid w:val="00E72642"/>
    <w:rsid w:val="00E72849"/>
    <w:rsid w:val="00E86A05"/>
    <w:rsid w:val="00E90E5E"/>
    <w:rsid w:val="00E91EB9"/>
    <w:rsid w:val="00E93592"/>
    <w:rsid w:val="00E935E1"/>
    <w:rsid w:val="00E93660"/>
    <w:rsid w:val="00E943DA"/>
    <w:rsid w:val="00E969E9"/>
    <w:rsid w:val="00E978FB"/>
    <w:rsid w:val="00E979D6"/>
    <w:rsid w:val="00EA017A"/>
    <w:rsid w:val="00EA3AEE"/>
    <w:rsid w:val="00EA53BE"/>
    <w:rsid w:val="00EA77DB"/>
    <w:rsid w:val="00EA7D63"/>
    <w:rsid w:val="00EB0A6C"/>
    <w:rsid w:val="00EC16AA"/>
    <w:rsid w:val="00EC1F76"/>
    <w:rsid w:val="00EC2FD6"/>
    <w:rsid w:val="00EC486D"/>
    <w:rsid w:val="00EC5189"/>
    <w:rsid w:val="00EC6185"/>
    <w:rsid w:val="00EC6742"/>
    <w:rsid w:val="00ED172A"/>
    <w:rsid w:val="00ED273C"/>
    <w:rsid w:val="00ED38C7"/>
    <w:rsid w:val="00ED4111"/>
    <w:rsid w:val="00ED4395"/>
    <w:rsid w:val="00ED5427"/>
    <w:rsid w:val="00ED547D"/>
    <w:rsid w:val="00EE030E"/>
    <w:rsid w:val="00EE18F1"/>
    <w:rsid w:val="00EE5746"/>
    <w:rsid w:val="00EE5AFE"/>
    <w:rsid w:val="00EE7E6F"/>
    <w:rsid w:val="00EF1B0B"/>
    <w:rsid w:val="00EF7579"/>
    <w:rsid w:val="00F00D13"/>
    <w:rsid w:val="00F0242A"/>
    <w:rsid w:val="00F0726B"/>
    <w:rsid w:val="00F125CC"/>
    <w:rsid w:val="00F12AD0"/>
    <w:rsid w:val="00F132E4"/>
    <w:rsid w:val="00F13EC9"/>
    <w:rsid w:val="00F14080"/>
    <w:rsid w:val="00F16D29"/>
    <w:rsid w:val="00F20B16"/>
    <w:rsid w:val="00F21B62"/>
    <w:rsid w:val="00F22CB6"/>
    <w:rsid w:val="00F233EA"/>
    <w:rsid w:val="00F26251"/>
    <w:rsid w:val="00F26E46"/>
    <w:rsid w:val="00F27936"/>
    <w:rsid w:val="00F332B3"/>
    <w:rsid w:val="00F33571"/>
    <w:rsid w:val="00F339E3"/>
    <w:rsid w:val="00F35BBF"/>
    <w:rsid w:val="00F42920"/>
    <w:rsid w:val="00F45C92"/>
    <w:rsid w:val="00F47D1F"/>
    <w:rsid w:val="00F50365"/>
    <w:rsid w:val="00F55547"/>
    <w:rsid w:val="00F55F7B"/>
    <w:rsid w:val="00F56618"/>
    <w:rsid w:val="00F56A54"/>
    <w:rsid w:val="00F60FDD"/>
    <w:rsid w:val="00F63D55"/>
    <w:rsid w:val="00F655CE"/>
    <w:rsid w:val="00F67544"/>
    <w:rsid w:val="00F70A04"/>
    <w:rsid w:val="00F725EB"/>
    <w:rsid w:val="00F81486"/>
    <w:rsid w:val="00F8149E"/>
    <w:rsid w:val="00F8301C"/>
    <w:rsid w:val="00F83AE7"/>
    <w:rsid w:val="00F8512D"/>
    <w:rsid w:val="00F85821"/>
    <w:rsid w:val="00F8634B"/>
    <w:rsid w:val="00F864F8"/>
    <w:rsid w:val="00F90D4A"/>
    <w:rsid w:val="00F9285C"/>
    <w:rsid w:val="00F937F1"/>
    <w:rsid w:val="00F93E12"/>
    <w:rsid w:val="00F948B7"/>
    <w:rsid w:val="00FA1DDE"/>
    <w:rsid w:val="00FA448C"/>
    <w:rsid w:val="00FA5576"/>
    <w:rsid w:val="00FA7DEE"/>
    <w:rsid w:val="00FB0300"/>
    <w:rsid w:val="00FB22D4"/>
    <w:rsid w:val="00FB44E5"/>
    <w:rsid w:val="00FB6142"/>
    <w:rsid w:val="00FB688D"/>
    <w:rsid w:val="00FB6C27"/>
    <w:rsid w:val="00FC45E1"/>
    <w:rsid w:val="00FC46EF"/>
    <w:rsid w:val="00FD4642"/>
    <w:rsid w:val="00FD5A4F"/>
    <w:rsid w:val="00FE378A"/>
    <w:rsid w:val="00FE3A50"/>
    <w:rsid w:val="00FE44DA"/>
    <w:rsid w:val="00FF1EC5"/>
    <w:rsid w:val="00FF5D7B"/>
    <w:rsid w:val="00FF73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7C6E6C7F-51CE-4C5F-89FA-1A2BA78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C2"/>
    <w:pPr>
      <w:jc w:val="both"/>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CA61C2"/>
    <w:pPr>
      <w:keepNext/>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61C2"/>
    <w:rPr>
      <w:rFonts w:ascii="Arial" w:eastAsia="Times New Roman" w:hAnsi="Arial" w:cs="Arial"/>
      <w:b/>
      <w:bCs/>
      <w:szCs w:val="24"/>
    </w:rPr>
  </w:style>
  <w:style w:type="character" w:styleId="Emphasis">
    <w:name w:val="Emphasis"/>
    <w:qFormat/>
    <w:rsid w:val="00CE2C9C"/>
    <w:rPr>
      <w:i/>
      <w:iCs/>
    </w:rPr>
  </w:style>
  <w:style w:type="paragraph" w:styleId="ListParagraph">
    <w:name w:val="List Paragraph"/>
    <w:basedOn w:val="Normal"/>
    <w:uiPriority w:val="34"/>
    <w:qFormat/>
    <w:rsid w:val="00CE2C9C"/>
    <w:pPr>
      <w:ind w:left="720"/>
      <w:contextualSpacing/>
    </w:pPr>
  </w:style>
  <w:style w:type="paragraph" w:styleId="Header">
    <w:name w:val="header"/>
    <w:basedOn w:val="Normal"/>
    <w:link w:val="HeaderChar"/>
    <w:uiPriority w:val="99"/>
    <w:unhideWhenUsed/>
    <w:rsid w:val="00043A62"/>
    <w:pPr>
      <w:tabs>
        <w:tab w:val="center" w:pos="4680"/>
        <w:tab w:val="right" w:pos="9360"/>
      </w:tabs>
    </w:pPr>
  </w:style>
  <w:style w:type="character" w:customStyle="1" w:styleId="HeaderChar">
    <w:name w:val="Header Char"/>
    <w:link w:val="Header"/>
    <w:uiPriority w:val="99"/>
    <w:rsid w:val="00043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3A62"/>
    <w:pPr>
      <w:tabs>
        <w:tab w:val="center" w:pos="4680"/>
        <w:tab w:val="right" w:pos="9360"/>
      </w:tabs>
    </w:pPr>
  </w:style>
  <w:style w:type="character" w:customStyle="1" w:styleId="FooterChar">
    <w:name w:val="Footer Char"/>
    <w:link w:val="Footer"/>
    <w:uiPriority w:val="99"/>
    <w:rsid w:val="00043A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821"/>
    <w:rPr>
      <w:rFonts w:ascii="Tahoma" w:hAnsi="Tahoma"/>
      <w:sz w:val="16"/>
      <w:szCs w:val="16"/>
    </w:rPr>
  </w:style>
  <w:style w:type="character" w:customStyle="1" w:styleId="BalloonTextChar">
    <w:name w:val="Balloon Text Char"/>
    <w:link w:val="BalloonText"/>
    <w:uiPriority w:val="99"/>
    <w:semiHidden/>
    <w:rsid w:val="00F85821"/>
    <w:rPr>
      <w:rFonts w:ascii="Tahoma" w:eastAsia="Times New Roman" w:hAnsi="Tahoma" w:cs="Tahoma"/>
      <w:sz w:val="16"/>
      <w:szCs w:val="16"/>
    </w:rPr>
  </w:style>
  <w:style w:type="paragraph" w:styleId="NoSpacing">
    <w:name w:val="No Spacing"/>
    <w:uiPriority w:val="1"/>
    <w:qFormat/>
    <w:rsid w:val="00971CFB"/>
    <w:pPr>
      <w:jc w:val="both"/>
    </w:pPr>
    <w:rPr>
      <w:rFonts w:ascii="Times New Roman" w:eastAsia="Times New Roman" w:hAnsi="Times New Roman"/>
      <w:sz w:val="24"/>
      <w:szCs w:val="24"/>
    </w:rPr>
  </w:style>
  <w:style w:type="paragraph" w:styleId="BlockText">
    <w:name w:val="Block Text"/>
    <w:basedOn w:val="Normal"/>
    <w:rsid w:val="002C0468"/>
    <w:pPr>
      <w:tabs>
        <w:tab w:val="left" w:pos="7740"/>
      </w:tabs>
      <w:ind w:left="360" w:right="-241" w:hanging="360"/>
    </w:pPr>
    <w:rPr>
      <w:rFonts w:ascii="Arial" w:hAnsi="Arial" w:cs="Arial"/>
      <w:color w:val="A6A6A6"/>
      <w:sz w:val="22"/>
      <w:szCs w:val="22"/>
      <w:lang w:bidi="en-US"/>
    </w:rPr>
  </w:style>
  <w:style w:type="paragraph" w:styleId="Subtitle">
    <w:name w:val="Subtitle"/>
    <w:basedOn w:val="Normal"/>
    <w:next w:val="Normal"/>
    <w:link w:val="SubtitleChar"/>
    <w:uiPriority w:val="11"/>
    <w:qFormat/>
    <w:rsid w:val="003C399F"/>
    <w:pPr>
      <w:spacing w:after="60"/>
      <w:jc w:val="center"/>
      <w:outlineLvl w:val="1"/>
    </w:pPr>
    <w:rPr>
      <w:rFonts w:ascii="Cambria" w:hAnsi="Cambria"/>
    </w:rPr>
  </w:style>
  <w:style w:type="character" w:customStyle="1" w:styleId="SubtitleChar">
    <w:name w:val="Subtitle Char"/>
    <w:link w:val="Subtitle"/>
    <w:uiPriority w:val="11"/>
    <w:rsid w:val="003C399F"/>
    <w:rPr>
      <w:rFonts w:ascii="Cambria" w:eastAsia="Times New Roman" w:hAnsi="Cambria" w:cs="Times New Roman"/>
      <w:sz w:val="24"/>
      <w:szCs w:val="24"/>
    </w:rPr>
  </w:style>
  <w:style w:type="paragraph" w:styleId="BodyTextIndent">
    <w:name w:val="Body Text Indent"/>
    <w:basedOn w:val="Normal"/>
    <w:link w:val="BodyTextIndentChar"/>
    <w:rsid w:val="00F937F1"/>
    <w:pPr>
      <w:widowControl w:val="0"/>
      <w:adjustRightInd w:val="0"/>
      <w:spacing w:line="360" w:lineRule="atLeast"/>
      <w:ind w:left="360"/>
      <w:textAlignment w:val="baseline"/>
    </w:pPr>
  </w:style>
  <w:style w:type="character" w:customStyle="1" w:styleId="BodyTextIndentChar">
    <w:name w:val="Body Text Indent Char"/>
    <w:link w:val="BodyTextIndent"/>
    <w:rsid w:val="00F937F1"/>
    <w:rPr>
      <w:rFonts w:ascii="Times New Roman" w:eastAsia="Times New Roman" w:hAnsi="Times New Roman"/>
      <w:sz w:val="24"/>
      <w:szCs w:val="24"/>
    </w:rPr>
  </w:style>
  <w:style w:type="paragraph" w:styleId="BodyText2">
    <w:name w:val="Body Text 2"/>
    <w:basedOn w:val="Normal"/>
    <w:link w:val="BodyText2Char"/>
    <w:rsid w:val="00F937F1"/>
    <w:pPr>
      <w:widowControl w:val="0"/>
      <w:adjustRightInd w:val="0"/>
      <w:spacing w:line="360" w:lineRule="atLeast"/>
      <w:textAlignment w:val="baseline"/>
    </w:pPr>
    <w:rPr>
      <w:szCs w:val="20"/>
    </w:rPr>
  </w:style>
  <w:style w:type="character" w:customStyle="1" w:styleId="BodyText2Char">
    <w:name w:val="Body Text 2 Char"/>
    <w:link w:val="BodyText2"/>
    <w:rsid w:val="00F937F1"/>
    <w:rPr>
      <w:rFonts w:ascii="Times New Roman" w:eastAsia="Times New Roman" w:hAnsi="Times New Roman"/>
      <w:sz w:val="24"/>
    </w:rPr>
  </w:style>
  <w:style w:type="table" w:styleId="TableGrid">
    <w:name w:val="Table Grid"/>
    <w:basedOn w:val="TableNormal"/>
    <w:uiPriority w:val="59"/>
    <w:rsid w:val="00BC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4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19419-BD51-4EF2-853E-7F833834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Audit Observations and Recommendations</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Observations and Recommendations</dc:title>
  <dc:subject/>
  <dc:creator>COA - Philippine Aerospace Development Corporation</dc:creator>
  <cp:keywords/>
  <cp:lastModifiedBy>COA</cp:lastModifiedBy>
  <cp:revision>3</cp:revision>
  <cp:lastPrinted>2016-06-08T00:09:00Z</cp:lastPrinted>
  <dcterms:created xsi:type="dcterms:W3CDTF">2015-08-10T08:24:00Z</dcterms:created>
  <dcterms:modified xsi:type="dcterms:W3CDTF">2016-06-23T01:57:00Z</dcterms:modified>
</cp:coreProperties>
</file>